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4B" w:rsidRPr="00345C4B" w:rsidRDefault="00345C4B" w:rsidP="00345C4B">
      <w:pPr>
        <w:spacing w:after="0" w:line="240" w:lineRule="auto"/>
        <w:jc w:val="center"/>
        <w:rPr>
          <w:rFonts w:ascii="Calibri" w:eastAsia="Times New Roman" w:hAnsi="Calibri" w:cs="Times New Roman"/>
          <w:sz w:val="36"/>
          <w:szCs w:val="20"/>
          <w:u w:val="single"/>
        </w:rPr>
      </w:pPr>
      <w:r w:rsidRPr="00345C4B">
        <w:rPr>
          <w:rFonts w:ascii="Calibri" w:eastAsia="Times New Roman" w:hAnsi="Calibri" w:cs="Times New Roman"/>
          <w:sz w:val="36"/>
          <w:szCs w:val="20"/>
          <w:u w:val="single"/>
        </w:rPr>
        <w:t>Mathematics 11 (Foundations)</w:t>
      </w:r>
    </w:p>
    <w:p w:rsidR="00345C4B" w:rsidRPr="00345C4B" w:rsidRDefault="00345C4B" w:rsidP="00345C4B">
      <w:pPr>
        <w:spacing w:after="0" w:line="240" w:lineRule="auto"/>
        <w:jc w:val="center"/>
        <w:rPr>
          <w:rFonts w:ascii="Calibri" w:eastAsia="Times New Roman" w:hAnsi="Calibri" w:cs="Times New Roman"/>
          <w:sz w:val="36"/>
          <w:szCs w:val="20"/>
          <w:u w:val="single"/>
        </w:rPr>
      </w:pPr>
      <w:r w:rsidRPr="00345C4B">
        <w:rPr>
          <w:rFonts w:ascii="Calibri" w:eastAsia="Times New Roman" w:hAnsi="Calibri" w:cs="Times New Roman"/>
          <w:sz w:val="36"/>
          <w:szCs w:val="20"/>
          <w:u w:val="single"/>
        </w:rPr>
        <w:t>Course Outline</w:t>
      </w:r>
    </w:p>
    <w:p w:rsidR="00345C4B" w:rsidRPr="00345C4B" w:rsidRDefault="00345C4B" w:rsidP="00345C4B">
      <w:pPr>
        <w:spacing w:after="0" w:line="240" w:lineRule="auto"/>
        <w:rPr>
          <w:rFonts w:ascii="Calibri" w:eastAsia="Times New Roman" w:hAnsi="Calibri" w:cs="Times New Roman"/>
          <w:sz w:val="24"/>
          <w:szCs w:val="20"/>
        </w:rPr>
      </w:pPr>
    </w:p>
    <w:p w:rsidR="00F227A9" w:rsidRPr="00167012" w:rsidRDefault="00345C4B" w:rsidP="00345C4B">
      <w:pPr>
        <w:rPr>
          <w:rFonts w:ascii="Arial Rounded MT Bold" w:eastAsia="Times New Roman" w:hAnsi="Arial Rounded MT Bold" w:cs="Times New Roman"/>
          <w:sz w:val="24"/>
          <w:szCs w:val="20"/>
        </w:rPr>
      </w:pPr>
      <w:r w:rsidRPr="00167012">
        <w:rPr>
          <w:rFonts w:ascii="Arial Rounded MT Bold" w:eastAsia="Times New Roman" w:hAnsi="Arial Rounded MT Bold" w:cs="Times New Roman"/>
          <w:sz w:val="24"/>
          <w:szCs w:val="20"/>
        </w:rPr>
        <w:t>Teacher:</w:t>
      </w:r>
      <w:r w:rsidRPr="00167012">
        <w:rPr>
          <w:rFonts w:ascii="Arial Rounded MT Bold" w:eastAsia="Times New Roman" w:hAnsi="Arial Rounded MT Bold" w:cs="Times New Roman"/>
          <w:sz w:val="24"/>
          <w:szCs w:val="20"/>
        </w:rPr>
        <w:tab/>
        <w:t>Mrs. M. Gill</w:t>
      </w:r>
      <w:r w:rsidRPr="00167012">
        <w:rPr>
          <w:rFonts w:ascii="Arial Rounded MT Bold" w:eastAsia="Times New Roman" w:hAnsi="Arial Rounded MT Bold" w:cs="Times New Roman"/>
          <w:sz w:val="24"/>
          <w:szCs w:val="20"/>
        </w:rPr>
        <w:br/>
        <w:t xml:space="preserve">E-mail: </w:t>
      </w:r>
      <w:r w:rsidRPr="00167012">
        <w:rPr>
          <w:rFonts w:ascii="Arial Rounded MT Bold" w:eastAsia="Times New Roman" w:hAnsi="Arial Rounded MT Bold" w:cs="Times New Roman"/>
          <w:sz w:val="24"/>
          <w:szCs w:val="20"/>
        </w:rPr>
        <w:tab/>
        <w:t xml:space="preserve">magill@sd43.bc.ca </w:t>
      </w:r>
      <w:r w:rsidRPr="00167012">
        <w:rPr>
          <w:rFonts w:ascii="Arial Rounded MT Bold" w:eastAsia="Times New Roman" w:hAnsi="Arial Rounded MT Bold" w:cs="Times New Roman"/>
          <w:sz w:val="24"/>
          <w:szCs w:val="20"/>
        </w:rPr>
        <w:br/>
        <w:t xml:space="preserve">Textbook: </w:t>
      </w:r>
      <w:r w:rsidRPr="00167012">
        <w:rPr>
          <w:rFonts w:ascii="Arial Rounded MT Bold" w:eastAsia="Times New Roman" w:hAnsi="Arial Rounded MT Bold" w:cs="Times New Roman"/>
          <w:sz w:val="24"/>
          <w:szCs w:val="20"/>
        </w:rPr>
        <w:tab/>
        <w:t>Foundations 11 (Nelson)</w:t>
      </w:r>
    </w:p>
    <w:p w:rsidR="00345C4B" w:rsidRPr="00167012" w:rsidRDefault="00345C4B" w:rsidP="00345C4B">
      <w:pPr>
        <w:rPr>
          <w:rFonts w:ascii="Arial" w:eastAsia="Times New Roman" w:hAnsi="Arial" w:cs="Arial"/>
          <w:sz w:val="24"/>
          <w:szCs w:val="20"/>
        </w:rPr>
      </w:pPr>
      <w:r w:rsidRPr="00167012">
        <w:rPr>
          <w:rFonts w:ascii="Arial" w:eastAsia="Times New Roman" w:hAnsi="Arial" w:cs="Arial"/>
          <w:sz w:val="24"/>
          <w:szCs w:val="20"/>
        </w:rPr>
        <w:t>Welcome to Foundations of Math 11! We have an exciting but challenging semester ahead of us. We will be covering the following content in class:</w:t>
      </w:r>
    </w:p>
    <w:tbl>
      <w:tblPr>
        <w:tblStyle w:val="TableGrid"/>
        <w:tblW w:w="10598" w:type="dxa"/>
        <w:tblLook w:val="04A0" w:firstRow="1" w:lastRow="0" w:firstColumn="1" w:lastColumn="0" w:noHBand="0" w:noVBand="1"/>
      </w:tblPr>
      <w:tblGrid>
        <w:gridCol w:w="10598"/>
      </w:tblGrid>
      <w:tr w:rsidR="00345C4B" w:rsidRPr="00167012" w:rsidTr="00C57FDC">
        <w:tc>
          <w:tcPr>
            <w:tcW w:w="3544" w:type="dxa"/>
            <w:vAlign w:val="center"/>
          </w:tcPr>
          <w:p w:rsidR="00345C4B" w:rsidRPr="00167012" w:rsidRDefault="00345C4B" w:rsidP="00345C4B">
            <w:pPr>
              <w:jc w:val="center"/>
              <w:rPr>
                <w:rFonts w:ascii="Arial" w:hAnsi="Arial" w:cs="Arial"/>
                <w:b/>
                <w:sz w:val="24"/>
              </w:rPr>
            </w:pPr>
            <w:r w:rsidRPr="00167012">
              <w:rPr>
                <w:rFonts w:ascii="Arial" w:hAnsi="Arial" w:cs="Arial"/>
                <w:b/>
                <w:sz w:val="24"/>
              </w:rPr>
              <w:t>Foundations 11</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Properties of Angles &amp; Triangles</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Non-</w:t>
            </w:r>
            <w:proofErr w:type="gramStart"/>
            <w:r w:rsidRPr="00167012">
              <w:rPr>
                <w:rFonts w:ascii="Arial" w:hAnsi="Arial" w:cs="Arial"/>
                <w:sz w:val="24"/>
              </w:rPr>
              <w:t>Right Angled</w:t>
            </w:r>
            <w:proofErr w:type="gramEnd"/>
            <w:r w:rsidRPr="00167012">
              <w:rPr>
                <w:rFonts w:ascii="Arial" w:hAnsi="Arial" w:cs="Arial"/>
                <w:sz w:val="24"/>
              </w:rPr>
              <w:t xml:space="preserve"> Triangle Trig.</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Inductive &amp; Deductive Reasoning</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 xml:space="preserve">System of Linear Inequalities </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 xml:space="preserve">Quadratic Functions </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Quadratic Equations</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 xml:space="preserve">Proportional Reasoning </w:t>
            </w:r>
          </w:p>
        </w:tc>
      </w:tr>
      <w:tr w:rsidR="00345C4B" w:rsidRPr="00167012" w:rsidTr="00C57FDC">
        <w:tc>
          <w:tcPr>
            <w:tcW w:w="3544" w:type="dxa"/>
          </w:tcPr>
          <w:p w:rsidR="00345C4B" w:rsidRPr="00167012" w:rsidRDefault="00345C4B" w:rsidP="00345C4B">
            <w:pPr>
              <w:rPr>
                <w:rFonts w:ascii="Arial" w:hAnsi="Arial" w:cs="Arial"/>
                <w:sz w:val="24"/>
              </w:rPr>
            </w:pPr>
            <w:r w:rsidRPr="00167012">
              <w:rPr>
                <w:rFonts w:ascii="Arial" w:hAnsi="Arial" w:cs="Arial"/>
                <w:sz w:val="24"/>
              </w:rPr>
              <w:t>Statistical Reasoning</w:t>
            </w:r>
          </w:p>
        </w:tc>
      </w:tr>
    </w:tbl>
    <w:p w:rsidR="00345C4B" w:rsidRDefault="00345C4B" w:rsidP="00345C4B"/>
    <w:p w:rsidR="00167012" w:rsidRPr="00167012" w:rsidRDefault="00345C4B" w:rsidP="00345C4B">
      <w:pPr>
        <w:spacing w:after="0" w:line="240" w:lineRule="auto"/>
        <w:rPr>
          <w:rFonts w:ascii="Arial Rounded MT Bold" w:eastAsia="Times New Roman" w:hAnsi="Arial Rounded MT Bold" w:cs="Arial"/>
          <w:sz w:val="24"/>
          <w:szCs w:val="24"/>
          <w:lang w:val="en-CA"/>
        </w:rPr>
      </w:pPr>
      <w:r w:rsidRPr="00345C4B">
        <w:rPr>
          <w:rFonts w:ascii="Arial Rounded MT Bold" w:eastAsia="Times New Roman" w:hAnsi="Arial Rounded MT Bold" w:cs="Arial"/>
          <w:sz w:val="24"/>
          <w:szCs w:val="24"/>
          <w:lang w:val="en-CA"/>
        </w:rPr>
        <w:t>Expectations</w:t>
      </w:r>
    </w:p>
    <w:p w:rsidR="00345C4B" w:rsidRPr="00345C4B" w:rsidRDefault="00345C4B" w:rsidP="00345C4B">
      <w:p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 xml:space="preserve">Mathematics is only mastered by </w:t>
      </w:r>
      <w:r w:rsidRPr="00345C4B">
        <w:rPr>
          <w:rFonts w:ascii="Arial" w:eastAsia="Times New Roman" w:hAnsi="Arial" w:cs="Arial"/>
          <w:b/>
          <w:i/>
          <w:sz w:val="24"/>
          <w:szCs w:val="24"/>
          <w:lang w:val="en-CA"/>
        </w:rPr>
        <w:t>doing</w:t>
      </w:r>
      <w:r w:rsidRPr="00345C4B">
        <w:rPr>
          <w:rFonts w:ascii="Arial" w:eastAsia="Times New Roman" w:hAnsi="Arial" w:cs="Arial"/>
          <w:sz w:val="24"/>
          <w:szCs w:val="24"/>
          <w:lang w:val="en-CA"/>
        </w:rPr>
        <w:t>!  The keys to success in this course include:</w:t>
      </w:r>
    </w:p>
    <w:p w:rsidR="00345C4B" w:rsidRPr="00345C4B" w:rsidRDefault="00345C4B" w:rsidP="00345C4B">
      <w:pPr>
        <w:numPr>
          <w:ilvl w:val="0"/>
          <w:numId w:val="1"/>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 xml:space="preserve">Doing all regular assigned homework </w:t>
      </w:r>
    </w:p>
    <w:p w:rsidR="00345C4B" w:rsidRPr="00345C4B" w:rsidRDefault="00345C4B" w:rsidP="00345C4B">
      <w:pPr>
        <w:numPr>
          <w:ilvl w:val="0"/>
          <w:numId w:val="1"/>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Attending class every day (presence and punctuality, please)</w:t>
      </w:r>
    </w:p>
    <w:p w:rsidR="00345C4B" w:rsidRPr="00345C4B" w:rsidRDefault="00345C4B" w:rsidP="00345C4B">
      <w:pPr>
        <w:numPr>
          <w:ilvl w:val="0"/>
          <w:numId w:val="1"/>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Attending FLEX tutorials when extra support is needed</w:t>
      </w:r>
    </w:p>
    <w:p w:rsidR="00345C4B" w:rsidRPr="00345C4B" w:rsidRDefault="00345C4B" w:rsidP="00345C4B">
      <w:pPr>
        <w:numPr>
          <w:ilvl w:val="0"/>
          <w:numId w:val="1"/>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Taking quality notes</w:t>
      </w:r>
    </w:p>
    <w:p w:rsidR="00345C4B" w:rsidRPr="00345C4B" w:rsidRDefault="00345C4B" w:rsidP="00345C4B">
      <w:pPr>
        <w:numPr>
          <w:ilvl w:val="0"/>
          <w:numId w:val="1"/>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Using class time wisely</w:t>
      </w:r>
      <w:r>
        <w:rPr>
          <w:rFonts w:ascii="Arial" w:eastAsia="Times New Roman" w:hAnsi="Arial" w:cs="Arial"/>
          <w:sz w:val="24"/>
          <w:szCs w:val="24"/>
          <w:lang w:val="en-CA"/>
        </w:rPr>
        <w:t xml:space="preserve"> and staying off your electronics.</w:t>
      </w:r>
    </w:p>
    <w:p w:rsidR="00345C4B" w:rsidRPr="00345C4B" w:rsidRDefault="00345C4B" w:rsidP="00345C4B">
      <w:pPr>
        <w:spacing w:after="0" w:line="240" w:lineRule="auto"/>
        <w:rPr>
          <w:rFonts w:ascii="Arial" w:eastAsia="Times New Roman" w:hAnsi="Arial" w:cs="Arial"/>
          <w:sz w:val="24"/>
          <w:szCs w:val="24"/>
          <w:lang w:val="en-CA"/>
        </w:rPr>
      </w:pPr>
    </w:p>
    <w:p w:rsidR="00345C4B" w:rsidRPr="00345C4B" w:rsidRDefault="00345C4B" w:rsidP="00345C4B">
      <w:pPr>
        <w:spacing w:after="0" w:line="240" w:lineRule="auto"/>
        <w:contextualSpacing/>
        <w:rPr>
          <w:rFonts w:ascii="Arial" w:eastAsia="Times New Roman" w:hAnsi="Arial" w:cs="Arial"/>
          <w:sz w:val="24"/>
          <w:szCs w:val="24"/>
          <w:lang w:val="en-CA"/>
        </w:rPr>
      </w:pPr>
      <w:r w:rsidRPr="00345C4B">
        <w:rPr>
          <w:rFonts w:ascii="Arial Rounded MT Bold" w:eastAsia="Times New Roman" w:hAnsi="Arial Rounded MT Bold" w:cs="Arial"/>
          <w:sz w:val="24"/>
          <w:szCs w:val="24"/>
          <w:lang w:val="en-CA"/>
        </w:rPr>
        <w:t>Evaluation</w:t>
      </w:r>
    </w:p>
    <w:p w:rsidR="00345C4B" w:rsidRPr="00167012" w:rsidRDefault="00345C4B" w:rsidP="00345C4B">
      <w:pPr>
        <w:contextualSpacing/>
        <w:rPr>
          <w:rFonts w:ascii="Arial" w:hAnsi="Arial" w:cs="Arial"/>
          <w:sz w:val="24"/>
        </w:rPr>
      </w:pPr>
      <w:r w:rsidRPr="00167012">
        <w:rPr>
          <w:rFonts w:ascii="Arial" w:hAnsi="Arial" w:cs="Arial"/>
          <w:sz w:val="24"/>
        </w:rPr>
        <w:t>Unit Tests</w:t>
      </w:r>
      <w:r w:rsidRPr="00167012">
        <w:rPr>
          <w:rFonts w:ascii="Arial" w:hAnsi="Arial" w:cs="Arial"/>
          <w:sz w:val="24"/>
        </w:rPr>
        <w:tab/>
      </w:r>
      <w:r w:rsidRPr="00167012">
        <w:rPr>
          <w:rFonts w:ascii="Arial" w:hAnsi="Arial" w:cs="Arial"/>
          <w:sz w:val="24"/>
        </w:rPr>
        <w:tab/>
      </w:r>
      <w:r w:rsidRPr="00167012">
        <w:rPr>
          <w:rFonts w:ascii="Arial" w:hAnsi="Arial" w:cs="Arial"/>
          <w:sz w:val="24"/>
        </w:rPr>
        <w:tab/>
      </w:r>
      <w:r w:rsidRPr="00167012">
        <w:rPr>
          <w:rFonts w:ascii="Arial" w:hAnsi="Arial" w:cs="Arial"/>
          <w:sz w:val="24"/>
        </w:rPr>
        <w:tab/>
      </w:r>
      <w:r w:rsidRPr="00167012">
        <w:rPr>
          <w:rFonts w:ascii="Arial" w:hAnsi="Arial" w:cs="Arial"/>
          <w:sz w:val="24"/>
        </w:rPr>
        <w:tab/>
        <w:t xml:space="preserve">       </w:t>
      </w:r>
      <w:r w:rsidRPr="00167012">
        <w:rPr>
          <w:rFonts w:ascii="Arial" w:hAnsi="Arial" w:cs="Arial"/>
          <w:sz w:val="24"/>
        </w:rPr>
        <w:tab/>
        <w:t>60%</w:t>
      </w:r>
    </w:p>
    <w:p w:rsidR="00345C4B" w:rsidRPr="00167012" w:rsidRDefault="00167012" w:rsidP="00345C4B">
      <w:pPr>
        <w:contextualSpacing/>
        <w:rPr>
          <w:rFonts w:ascii="Arial" w:hAnsi="Arial" w:cs="Arial"/>
          <w:sz w:val="24"/>
        </w:rPr>
      </w:pPr>
      <w:r>
        <w:rPr>
          <w:rFonts w:ascii="Arial" w:hAnsi="Arial" w:cs="Arial"/>
          <w:sz w:val="24"/>
        </w:rPr>
        <w:t>Quizzes/Assignments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345C4B" w:rsidRPr="00167012">
        <w:rPr>
          <w:rFonts w:ascii="Arial" w:hAnsi="Arial" w:cs="Arial"/>
          <w:sz w:val="24"/>
        </w:rPr>
        <w:t>20%</w:t>
      </w:r>
    </w:p>
    <w:p w:rsidR="00345C4B" w:rsidRPr="00167012" w:rsidRDefault="00345C4B" w:rsidP="00345C4B">
      <w:pPr>
        <w:contextualSpacing/>
        <w:rPr>
          <w:rFonts w:ascii="Arial" w:hAnsi="Arial" w:cs="Arial"/>
          <w:sz w:val="24"/>
        </w:rPr>
      </w:pPr>
      <w:r w:rsidRPr="00167012">
        <w:rPr>
          <w:rFonts w:ascii="Arial" w:hAnsi="Arial" w:cs="Arial"/>
          <w:sz w:val="24"/>
        </w:rPr>
        <w:t>Midterm &amp; Final Exam</w:t>
      </w:r>
      <w:r w:rsidRPr="00167012">
        <w:rPr>
          <w:rFonts w:ascii="Arial" w:hAnsi="Arial" w:cs="Arial"/>
          <w:sz w:val="24"/>
        </w:rPr>
        <w:tab/>
      </w:r>
      <w:r w:rsidRPr="00167012">
        <w:rPr>
          <w:rFonts w:ascii="Arial" w:hAnsi="Arial" w:cs="Arial"/>
          <w:sz w:val="24"/>
        </w:rPr>
        <w:tab/>
      </w:r>
      <w:r w:rsidRPr="00167012">
        <w:rPr>
          <w:rFonts w:ascii="Arial" w:hAnsi="Arial" w:cs="Arial"/>
          <w:sz w:val="24"/>
        </w:rPr>
        <w:tab/>
      </w:r>
      <w:r w:rsidRPr="00167012">
        <w:rPr>
          <w:rFonts w:ascii="Arial" w:hAnsi="Arial" w:cs="Arial"/>
          <w:sz w:val="24"/>
        </w:rPr>
        <w:tab/>
        <w:t>20%</w:t>
      </w:r>
    </w:p>
    <w:p w:rsidR="00345C4B" w:rsidRDefault="00345C4B" w:rsidP="00345C4B">
      <w:pPr>
        <w:contextualSpacing/>
        <w:rPr>
          <w:sz w:val="24"/>
        </w:rPr>
      </w:pPr>
    </w:p>
    <w:p w:rsidR="00167012" w:rsidRPr="00345C4B" w:rsidRDefault="00345C4B" w:rsidP="00345C4B">
      <w:pPr>
        <w:spacing w:after="0" w:line="240" w:lineRule="auto"/>
        <w:rPr>
          <w:rFonts w:ascii="Arial Rounded MT Bold" w:eastAsia="Times New Roman" w:hAnsi="Arial Rounded MT Bold" w:cs="Arial"/>
          <w:sz w:val="24"/>
          <w:szCs w:val="24"/>
          <w:lang w:val="en-CA"/>
        </w:rPr>
      </w:pPr>
      <w:r w:rsidRPr="00345C4B">
        <w:rPr>
          <w:rFonts w:ascii="Arial Rounded MT Bold" w:eastAsia="Times New Roman" w:hAnsi="Arial Rounded MT Bold" w:cs="Arial"/>
          <w:sz w:val="24"/>
          <w:szCs w:val="24"/>
          <w:lang w:val="en-CA"/>
        </w:rPr>
        <w:t>Materials</w:t>
      </w:r>
    </w:p>
    <w:p w:rsidR="00345C4B" w:rsidRPr="00345C4B" w:rsidRDefault="00345C4B" w:rsidP="00345C4B">
      <w:pPr>
        <w:numPr>
          <w:ilvl w:val="0"/>
          <w:numId w:val="2"/>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Scientific calculator (sin, cos, tan, square roots, exponents, etc.)</w:t>
      </w:r>
    </w:p>
    <w:p w:rsidR="00345C4B" w:rsidRPr="00345C4B" w:rsidRDefault="00345C4B" w:rsidP="00345C4B">
      <w:pPr>
        <w:numPr>
          <w:ilvl w:val="0"/>
          <w:numId w:val="2"/>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 xml:space="preserve">3 ring </w:t>
      </w:r>
      <w:proofErr w:type="gramStart"/>
      <w:r w:rsidRPr="00345C4B">
        <w:rPr>
          <w:rFonts w:ascii="Arial" w:eastAsia="Times New Roman" w:hAnsi="Arial" w:cs="Arial"/>
          <w:sz w:val="24"/>
          <w:szCs w:val="24"/>
          <w:lang w:val="en-CA"/>
        </w:rPr>
        <w:t>binder</w:t>
      </w:r>
      <w:proofErr w:type="gramEnd"/>
      <w:r w:rsidRPr="00345C4B">
        <w:rPr>
          <w:rFonts w:ascii="Arial" w:eastAsia="Times New Roman" w:hAnsi="Arial" w:cs="Arial"/>
          <w:sz w:val="24"/>
          <w:szCs w:val="24"/>
          <w:lang w:val="en-CA"/>
        </w:rPr>
        <w:t xml:space="preserve"> with plain, lined, and graph paper</w:t>
      </w:r>
    </w:p>
    <w:p w:rsidR="00345C4B" w:rsidRPr="00345C4B" w:rsidRDefault="00345C4B" w:rsidP="00345C4B">
      <w:pPr>
        <w:numPr>
          <w:ilvl w:val="0"/>
          <w:numId w:val="2"/>
        </w:numPr>
        <w:spacing w:after="0" w:line="240" w:lineRule="auto"/>
        <w:rPr>
          <w:rFonts w:ascii="Arial" w:eastAsia="Times New Roman" w:hAnsi="Arial" w:cs="Arial"/>
          <w:sz w:val="24"/>
          <w:szCs w:val="24"/>
          <w:lang w:val="en-CA"/>
        </w:rPr>
      </w:pPr>
      <w:r w:rsidRPr="00345C4B">
        <w:rPr>
          <w:rFonts w:ascii="Arial" w:eastAsia="Times New Roman" w:hAnsi="Arial" w:cs="Arial"/>
          <w:sz w:val="24"/>
          <w:szCs w:val="24"/>
          <w:lang w:val="en-CA"/>
        </w:rPr>
        <w:t>Pencils, erasers, pen, and ruler</w:t>
      </w:r>
    </w:p>
    <w:p w:rsidR="00345C4B" w:rsidRDefault="00345C4B" w:rsidP="00345C4B">
      <w:pPr>
        <w:contextualSpacing/>
      </w:pPr>
    </w:p>
    <w:p w:rsidR="00345C4B" w:rsidRDefault="00345C4B" w:rsidP="00345C4B">
      <w:pPr>
        <w:contextualSpacing/>
      </w:pPr>
    </w:p>
    <w:p w:rsidR="00865138" w:rsidRPr="00167012" w:rsidRDefault="00167012" w:rsidP="00345C4B">
      <w:pPr>
        <w:contextualSpacing/>
        <w:rPr>
          <w:rFonts w:ascii="Arial Rounded MT Bold" w:hAnsi="Arial Rounded MT Bold"/>
        </w:rPr>
      </w:pPr>
      <w:r w:rsidRPr="00167012">
        <w:rPr>
          <w:rFonts w:ascii="Arial Rounded MT Bold" w:hAnsi="Arial Rounded MT Bold"/>
        </w:rPr>
        <w:t>Extra help</w:t>
      </w:r>
    </w:p>
    <w:p w:rsidR="00167012" w:rsidRDefault="00167012" w:rsidP="00345C4B">
      <w:pPr>
        <w:contextualSpacing/>
        <w:rPr>
          <w:rFonts w:ascii="Arial" w:hAnsi="Arial" w:cs="Arial"/>
        </w:rPr>
      </w:pPr>
      <w:r w:rsidRPr="00167012">
        <w:rPr>
          <w:rFonts w:ascii="Arial" w:hAnsi="Arial" w:cs="Arial"/>
        </w:rPr>
        <w:t>Please don’t fall behind in this course. For addi</w:t>
      </w:r>
      <w:r w:rsidR="002F68FF">
        <w:rPr>
          <w:rFonts w:ascii="Arial" w:hAnsi="Arial" w:cs="Arial"/>
        </w:rPr>
        <w:t>tional help, you can come see me</w:t>
      </w:r>
      <w:r w:rsidRPr="00167012">
        <w:rPr>
          <w:rFonts w:ascii="Arial" w:hAnsi="Arial" w:cs="Arial"/>
        </w:rPr>
        <w:t xml:space="preserve"> before</w:t>
      </w:r>
      <w:r w:rsidR="002F68FF">
        <w:rPr>
          <w:rFonts w:ascii="Arial" w:hAnsi="Arial" w:cs="Arial"/>
        </w:rPr>
        <w:t>/after</w:t>
      </w:r>
      <w:bookmarkStart w:id="0" w:name="_GoBack"/>
      <w:bookmarkEnd w:id="0"/>
      <w:r w:rsidRPr="00167012">
        <w:rPr>
          <w:rFonts w:ascii="Arial" w:hAnsi="Arial" w:cs="Arial"/>
        </w:rPr>
        <w:t xml:space="preserve"> school or during any of the flex blocks. </w:t>
      </w:r>
    </w:p>
    <w:p w:rsidR="00167012" w:rsidRDefault="00167012" w:rsidP="00345C4B">
      <w:pPr>
        <w:contextualSpacing/>
        <w:rPr>
          <w:rFonts w:ascii="Arial" w:hAnsi="Arial" w:cs="Arial"/>
        </w:rPr>
      </w:pPr>
    </w:p>
    <w:p w:rsidR="00167012" w:rsidRPr="00167012" w:rsidRDefault="00167012" w:rsidP="00345C4B">
      <w:pPr>
        <w:contextualSpacing/>
        <w:rPr>
          <w:rFonts w:ascii="Arial" w:hAnsi="Arial" w:cs="Arial"/>
        </w:rPr>
      </w:pPr>
      <w:r>
        <w:rPr>
          <w:rFonts w:ascii="Arial" w:hAnsi="Arial" w:cs="Arial"/>
        </w:rPr>
        <w:t>Good luck this semester!</w:t>
      </w:r>
    </w:p>
    <w:p w:rsidR="00865138" w:rsidRDefault="00865138" w:rsidP="00345C4B">
      <w:pPr>
        <w:contextualSpacing/>
      </w:pPr>
    </w:p>
    <w:p w:rsidR="00865138" w:rsidRDefault="00865138" w:rsidP="00345C4B">
      <w:pPr>
        <w:contextualSpacing/>
      </w:pPr>
    </w:p>
    <w:p w:rsidR="00865138" w:rsidRPr="002F68FF" w:rsidRDefault="00865138" w:rsidP="00865138">
      <w:pPr>
        <w:rPr>
          <w:sz w:val="24"/>
        </w:rPr>
      </w:pPr>
      <w:r>
        <w:rPr>
          <w:b/>
          <w:sz w:val="24"/>
          <w:u w:val="single"/>
        </w:rPr>
        <w:t xml:space="preserve">Who is it for? </w:t>
      </w:r>
      <w:r>
        <w:rPr>
          <w:b/>
          <w:sz w:val="24"/>
          <w:u w:val="single"/>
        </w:rPr>
        <w:br/>
      </w:r>
      <w:r>
        <w:rPr>
          <w:b/>
          <w:sz w:val="24"/>
          <w:u w:val="single"/>
        </w:rPr>
        <w:br/>
      </w:r>
      <w:r>
        <w:rPr>
          <w:sz w:val="24"/>
        </w:rPr>
        <w:t xml:space="preserve">There are 3 streams in Math 11: Pre-Calculus, Foundations, and Apprenticeship and Workplace.  You’re in Pre-Calculus if you want anything to do with the science or commerce programs in post-secondary school.  Some schools accept Foundations for programs like nursing, social sciences, humanities, and fine arts.  For trades programs or direct entry into the work force you should choose Apprenticeship and Workplace.  That said, it also depends on your math skills and YOU!   If you don’t know if you’re in the right course, seek your counsellor.      </w:t>
      </w:r>
    </w:p>
    <w:p w:rsidR="00865138" w:rsidRDefault="00865138" w:rsidP="00865138">
      <w:pPr>
        <w:rPr>
          <w:sz w:val="24"/>
        </w:rPr>
      </w:pPr>
      <w:r w:rsidRPr="00D04DD4">
        <w:rPr>
          <w:b/>
          <w:sz w:val="24"/>
          <w:u w:val="single"/>
        </w:rPr>
        <w:t>Course Content</w:t>
      </w:r>
      <w:r w:rsidRPr="00D04DD4">
        <w:rPr>
          <w:sz w:val="24"/>
        </w:rPr>
        <w:t>:</w:t>
      </w:r>
    </w:p>
    <w:tbl>
      <w:tblPr>
        <w:tblStyle w:val="TableGrid"/>
        <w:tblW w:w="10598" w:type="dxa"/>
        <w:tblLook w:val="04A0" w:firstRow="1" w:lastRow="0" w:firstColumn="1" w:lastColumn="0" w:noHBand="0" w:noVBand="1"/>
      </w:tblPr>
      <w:tblGrid>
        <w:gridCol w:w="3794"/>
        <w:gridCol w:w="3544"/>
        <w:gridCol w:w="3260"/>
      </w:tblGrid>
      <w:tr w:rsidR="00865138" w:rsidTr="00C57FDC">
        <w:tc>
          <w:tcPr>
            <w:tcW w:w="3794" w:type="dxa"/>
            <w:vAlign w:val="center"/>
          </w:tcPr>
          <w:p w:rsidR="00865138" w:rsidRPr="00D04DD4" w:rsidRDefault="00865138" w:rsidP="00C57FDC">
            <w:pPr>
              <w:jc w:val="center"/>
              <w:rPr>
                <w:rFonts w:asciiTheme="minorHAnsi" w:hAnsiTheme="minorHAnsi"/>
                <w:b/>
                <w:sz w:val="24"/>
              </w:rPr>
            </w:pPr>
            <w:r w:rsidRPr="00D04DD4">
              <w:rPr>
                <w:rFonts w:asciiTheme="minorHAnsi" w:hAnsiTheme="minorHAnsi"/>
                <w:b/>
                <w:sz w:val="24"/>
              </w:rPr>
              <w:t>Pre-Calculus 11</w:t>
            </w:r>
          </w:p>
        </w:tc>
        <w:tc>
          <w:tcPr>
            <w:tcW w:w="3544" w:type="dxa"/>
            <w:vAlign w:val="center"/>
          </w:tcPr>
          <w:p w:rsidR="00865138" w:rsidRPr="00D04DD4" w:rsidRDefault="00865138" w:rsidP="00C57FDC">
            <w:pPr>
              <w:jc w:val="center"/>
              <w:rPr>
                <w:rFonts w:asciiTheme="minorHAnsi" w:hAnsiTheme="minorHAnsi"/>
                <w:b/>
                <w:sz w:val="24"/>
              </w:rPr>
            </w:pPr>
            <w:r w:rsidRPr="00D04DD4">
              <w:rPr>
                <w:rFonts w:asciiTheme="minorHAnsi" w:hAnsiTheme="minorHAnsi"/>
                <w:b/>
                <w:sz w:val="24"/>
              </w:rPr>
              <w:t>Foundations 11</w:t>
            </w:r>
          </w:p>
        </w:tc>
        <w:tc>
          <w:tcPr>
            <w:tcW w:w="3260" w:type="dxa"/>
            <w:vAlign w:val="center"/>
          </w:tcPr>
          <w:p w:rsidR="00865138" w:rsidRPr="00D04DD4" w:rsidRDefault="00865138" w:rsidP="00C57FDC">
            <w:pPr>
              <w:jc w:val="center"/>
              <w:rPr>
                <w:rFonts w:asciiTheme="minorHAnsi" w:hAnsiTheme="minorHAnsi"/>
                <w:b/>
                <w:sz w:val="24"/>
              </w:rPr>
            </w:pPr>
            <w:r w:rsidRPr="00D04DD4">
              <w:rPr>
                <w:rFonts w:asciiTheme="minorHAnsi" w:hAnsiTheme="minorHAnsi"/>
                <w:b/>
                <w:sz w:val="24"/>
              </w:rPr>
              <w:t>A &amp; W 11</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Sequences and Series</w:t>
            </w:r>
          </w:p>
        </w:tc>
        <w:tc>
          <w:tcPr>
            <w:tcW w:w="3544" w:type="dxa"/>
          </w:tcPr>
          <w:p w:rsidR="00865138" w:rsidRDefault="00865138" w:rsidP="00C57FDC">
            <w:pPr>
              <w:rPr>
                <w:rFonts w:asciiTheme="minorHAnsi" w:hAnsiTheme="minorHAnsi"/>
                <w:sz w:val="24"/>
              </w:rPr>
            </w:pPr>
            <w:r>
              <w:rPr>
                <w:rFonts w:asciiTheme="minorHAnsi" w:hAnsiTheme="minorHAnsi"/>
                <w:sz w:val="24"/>
              </w:rPr>
              <w:t>Properties of Angles &amp; Triangles</w:t>
            </w:r>
          </w:p>
        </w:tc>
        <w:tc>
          <w:tcPr>
            <w:tcW w:w="3260" w:type="dxa"/>
          </w:tcPr>
          <w:p w:rsidR="00865138" w:rsidRDefault="00865138" w:rsidP="00C57FDC">
            <w:pPr>
              <w:rPr>
                <w:rFonts w:asciiTheme="minorHAnsi" w:hAnsiTheme="minorHAnsi"/>
                <w:sz w:val="24"/>
              </w:rPr>
            </w:pPr>
            <w:r>
              <w:rPr>
                <w:rFonts w:asciiTheme="minorHAnsi" w:hAnsiTheme="minorHAnsi"/>
                <w:sz w:val="24"/>
              </w:rPr>
              <w:t xml:space="preserve">Ratio, Rate &amp; </w:t>
            </w:r>
            <w:proofErr w:type="spellStart"/>
            <w:r>
              <w:rPr>
                <w:rFonts w:asciiTheme="minorHAnsi" w:hAnsiTheme="minorHAnsi"/>
                <w:sz w:val="24"/>
              </w:rPr>
              <w:t>Percents</w:t>
            </w:r>
            <w:proofErr w:type="spellEnd"/>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Radical Expressions &amp; Equations</w:t>
            </w:r>
          </w:p>
        </w:tc>
        <w:tc>
          <w:tcPr>
            <w:tcW w:w="3544" w:type="dxa"/>
          </w:tcPr>
          <w:p w:rsidR="00865138" w:rsidRDefault="00865138" w:rsidP="00C57FDC">
            <w:pPr>
              <w:rPr>
                <w:rFonts w:asciiTheme="minorHAnsi" w:hAnsiTheme="minorHAnsi"/>
                <w:sz w:val="24"/>
              </w:rPr>
            </w:pPr>
            <w:r>
              <w:rPr>
                <w:rFonts w:asciiTheme="minorHAnsi" w:hAnsiTheme="minorHAnsi"/>
                <w:sz w:val="24"/>
              </w:rPr>
              <w:t>Non-</w:t>
            </w:r>
            <w:proofErr w:type="gramStart"/>
            <w:r>
              <w:rPr>
                <w:rFonts w:asciiTheme="minorHAnsi" w:hAnsiTheme="minorHAnsi"/>
                <w:sz w:val="24"/>
              </w:rPr>
              <w:t>Right Angled</w:t>
            </w:r>
            <w:proofErr w:type="gramEnd"/>
            <w:r>
              <w:rPr>
                <w:rFonts w:asciiTheme="minorHAnsi" w:hAnsiTheme="minorHAnsi"/>
                <w:sz w:val="24"/>
              </w:rPr>
              <w:t xml:space="preserve"> Triangle Trig.</w:t>
            </w:r>
          </w:p>
        </w:tc>
        <w:tc>
          <w:tcPr>
            <w:tcW w:w="3260" w:type="dxa"/>
          </w:tcPr>
          <w:p w:rsidR="00865138" w:rsidRDefault="00865138" w:rsidP="00C57FDC">
            <w:pPr>
              <w:rPr>
                <w:rFonts w:asciiTheme="minorHAnsi" w:hAnsiTheme="minorHAnsi"/>
                <w:sz w:val="24"/>
              </w:rPr>
            </w:pPr>
            <w:r>
              <w:rPr>
                <w:rFonts w:asciiTheme="minorHAnsi" w:hAnsiTheme="minorHAnsi"/>
                <w:sz w:val="24"/>
              </w:rPr>
              <w:t>Trigonometry</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Quadratic Equations</w:t>
            </w:r>
          </w:p>
        </w:tc>
        <w:tc>
          <w:tcPr>
            <w:tcW w:w="3544" w:type="dxa"/>
          </w:tcPr>
          <w:p w:rsidR="00865138" w:rsidRDefault="00865138" w:rsidP="00C57FDC">
            <w:pPr>
              <w:rPr>
                <w:rFonts w:asciiTheme="minorHAnsi" w:hAnsiTheme="minorHAnsi"/>
                <w:sz w:val="24"/>
              </w:rPr>
            </w:pPr>
            <w:r>
              <w:rPr>
                <w:rFonts w:asciiTheme="minorHAnsi" w:hAnsiTheme="minorHAnsi"/>
                <w:sz w:val="24"/>
              </w:rPr>
              <w:t>Inductive &amp; Deductive Reasoning</w:t>
            </w:r>
          </w:p>
        </w:tc>
        <w:tc>
          <w:tcPr>
            <w:tcW w:w="3260" w:type="dxa"/>
          </w:tcPr>
          <w:p w:rsidR="00865138" w:rsidRDefault="00865138" w:rsidP="00C57FDC">
            <w:pPr>
              <w:rPr>
                <w:rFonts w:asciiTheme="minorHAnsi" w:hAnsiTheme="minorHAnsi"/>
                <w:sz w:val="24"/>
              </w:rPr>
            </w:pPr>
            <w:r>
              <w:rPr>
                <w:rFonts w:asciiTheme="minorHAnsi" w:hAnsiTheme="minorHAnsi"/>
                <w:sz w:val="24"/>
              </w:rPr>
              <w:t>Slope</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Quadratic Functions</w:t>
            </w:r>
          </w:p>
        </w:tc>
        <w:tc>
          <w:tcPr>
            <w:tcW w:w="3544" w:type="dxa"/>
          </w:tcPr>
          <w:p w:rsidR="00865138" w:rsidRDefault="00865138" w:rsidP="00C57FDC">
            <w:pPr>
              <w:rPr>
                <w:rFonts w:asciiTheme="minorHAnsi" w:hAnsiTheme="minorHAnsi"/>
                <w:sz w:val="24"/>
              </w:rPr>
            </w:pPr>
            <w:r>
              <w:rPr>
                <w:rFonts w:asciiTheme="minorHAnsi" w:hAnsiTheme="minorHAnsi"/>
                <w:sz w:val="24"/>
              </w:rPr>
              <w:t xml:space="preserve">System of Linear Inequalities </w:t>
            </w:r>
          </w:p>
        </w:tc>
        <w:tc>
          <w:tcPr>
            <w:tcW w:w="3260" w:type="dxa"/>
          </w:tcPr>
          <w:p w:rsidR="00865138" w:rsidRDefault="00865138" w:rsidP="00C57FDC">
            <w:pPr>
              <w:rPr>
                <w:rFonts w:asciiTheme="minorHAnsi" w:hAnsiTheme="minorHAnsi"/>
                <w:sz w:val="24"/>
              </w:rPr>
            </w:pPr>
            <w:r>
              <w:rPr>
                <w:rFonts w:asciiTheme="minorHAnsi" w:hAnsiTheme="minorHAnsi"/>
                <w:sz w:val="24"/>
              </w:rPr>
              <w:t>Representing Data Graphically</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Systems of Equations &amp; Inequalities</w:t>
            </w:r>
          </w:p>
        </w:tc>
        <w:tc>
          <w:tcPr>
            <w:tcW w:w="3544" w:type="dxa"/>
          </w:tcPr>
          <w:p w:rsidR="00865138" w:rsidRDefault="00865138" w:rsidP="00C57FDC">
            <w:pPr>
              <w:rPr>
                <w:rFonts w:asciiTheme="minorHAnsi" w:hAnsiTheme="minorHAnsi"/>
                <w:sz w:val="24"/>
              </w:rPr>
            </w:pPr>
            <w:r>
              <w:rPr>
                <w:rFonts w:asciiTheme="minorHAnsi" w:hAnsiTheme="minorHAnsi"/>
                <w:sz w:val="24"/>
              </w:rPr>
              <w:t xml:space="preserve">Quadratic Functions </w:t>
            </w:r>
          </w:p>
        </w:tc>
        <w:tc>
          <w:tcPr>
            <w:tcW w:w="3260" w:type="dxa"/>
          </w:tcPr>
          <w:p w:rsidR="00865138" w:rsidRDefault="00865138" w:rsidP="00C57FDC">
            <w:pPr>
              <w:rPr>
                <w:rFonts w:asciiTheme="minorHAnsi" w:hAnsiTheme="minorHAnsi"/>
                <w:sz w:val="24"/>
              </w:rPr>
            </w:pPr>
            <w:r>
              <w:rPr>
                <w:rFonts w:asciiTheme="minorHAnsi" w:hAnsiTheme="minorHAnsi"/>
                <w:sz w:val="24"/>
              </w:rPr>
              <w:t>Surface Area &amp; Volume</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Trigonometry</w:t>
            </w:r>
          </w:p>
        </w:tc>
        <w:tc>
          <w:tcPr>
            <w:tcW w:w="3544" w:type="dxa"/>
          </w:tcPr>
          <w:p w:rsidR="00865138" w:rsidRDefault="00865138" w:rsidP="00C57FDC">
            <w:pPr>
              <w:rPr>
                <w:rFonts w:asciiTheme="minorHAnsi" w:hAnsiTheme="minorHAnsi"/>
                <w:sz w:val="24"/>
              </w:rPr>
            </w:pPr>
            <w:r>
              <w:rPr>
                <w:rFonts w:asciiTheme="minorHAnsi" w:hAnsiTheme="minorHAnsi"/>
                <w:sz w:val="24"/>
              </w:rPr>
              <w:t>Quadratic Equations</w:t>
            </w:r>
          </w:p>
        </w:tc>
        <w:tc>
          <w:tcPr>
            <w:tcW w:w="3260" w:type="dxa"/>
          </w:tcPr>
          <w:p w:rsidR="00865138" w:rsidRDefault="00865138" w:rsidP="00C57FDC">
            <w:pPr>
              <w:rPr>
                <w:rFonts w:asciiTheme="minorHAnsi" w:hAnsiTheme="minorHAnsi"/>
                <w:sz w:val="24"/>
              </w:rPr>
            </w:pPr>
            <w:r>
              <w:rPr>
                <w:rFonts w:asciiTheme="minorHAnsi" w:hAnsiTheme="minorHAnsi"/>
                <w:sz w:val="24"/>
              </w:rPr>
              <w:t>Scale &amp; Scale Drawings</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Rational Expressions &amp; Equations</w:t>
            </w:r>
          </w:p>
        </w:tc>
        <w:tc>
          <w:tcPr>
            <w:tcW w:w="3544" w:type="dxa"/>
          </w:tcPr>
          <w:p w:rsidR="00865138" w:rsidRDefault="00865138" w:rsidP="00C57FDC">
            <w:pPr>
              <w:rPr>
                <w:rFonts w:asciiTheme="minorHAnsi" w:hAnsiTheme="minorHAnsi"/>
                <w:sz w:val="24"/>
              </w:rPr>
            </w:pPr>
            <w:r>
              <w:rPr>
                <w:rFonts w:asciiTheme="minorHAnsi" w:hAnsiTheme="minorHAnsi"/>
                <w:sz w:val="24"/>
              </w:rPr>
              <w:t xml:space="preserve">Proportional Reasoning </w:t>
            </w:r>
          </w:p>
        </w:tc>
        <w:tc>
          <w:tcPr>
            <w:tcW w:w="3260" w:type="dxa"/>
          </w:tcPr>
          <w:p w:rsidR="00865138" w:rsidRDefault="00865138" w:rsidP="00C57FDC">
            <w:pPr>
              <w:rPr>
                <w:rFonts w:asciiTheme="minorHAnsi" w:hAnsiTheme="minorHAnsi"/>
                <w:sz w:val="24"/>
              </w:rPr>
            </w:pPr>
            <w:r>
              <w:rPr>
                <w:rFonts w:asciiTheme="minorHAnsi" w:hAnsiTheme="minorHAnsi"/>
                <w:sz w:val="24"/>
              </w:rPr>
              <w:t>Financial Services Industry</w:t>
            </w:r>
          </w:p>
        </w:tc>
      </w:tr>
      <w:tr w:rsidR="00865138" w:rsidTr="00C57FDC">
        <w:tc>
          <w:tcPr>
            <w:tcW w:w="3794" w:type="dxa"/>
          </w:tcPr>
          <w:p w:rsidR="00865138" w:rsidRDefault="00865138" w:rsidP="00C57FDC">
            <w:pPr>
              <w:rPr>
                <w:rFonts w:asciiTheme="minorHAnsi" w:hAnsiTheme="minorHAnsi"/>
                <w:sz w:val="24"/>
              </w:rPr>
            </w:pPr>
            <w:r>
              <w:rPr>
                <w:rFonts w:asciiTheme="minorHAnsi" w:hAnsiTheme="minorHAnsi"/>
                <w:sz w:val="24"/>
              </w:rPr>
              <w:t xml:space="preserve">Absolute Value &amp; Reciprocal </w:t>
            </w:r>
            <w:proofErr w:type="spellStart"/>
            <w:r>
              <w:rPr>
                <w:rFonts w:asciiTheme="minorHAnsi" w:hAnsiTheme="minorHAnsi"/>
                <w:sz w:val="24"/>
              </w:rPr>
              <w:t>Fxns</w:t>
            </w:r>
            <w:proofErr w:type="spellEnd"/>
          </w:p>
        </w:tc>
        <w:tc>
          <w:tcPr>
            <w:tcW w:w="3544" w:type="dxa"/>
          </w:tcPr>
          <w:p w:rsidR="00865138" w:rsidRDefault="00865138" w:rsidP="00C57FDC">
            <w:pPr>
              <w:rPr>
                <w:rFonts w:asciiTheme="minorHAnsi" w:hAnsiTheme="minorHAnsi"/>
                <w:sz w:val="24"/>
              </w:rPr>
            </w:pPr>
            <w:r>
              <w:rPr>
                <w:rFonts w:asciiTheme="minorHAnsi" w:hAnsiTheme="minorHAnsi"/>
                <w:sz w:val="24"/>
              </w:rPr>
              <w:t>Statistical Reasoning</w:t>
            </w:r>
          </w:p>
        </w:tc>
        <w:tc>
          <w:tcPr>
            <w:tcW w:w="3260" w:type="dxa"/>
          </w:tcPr>
          <w:p w:rsidR="00865138" w:rsidRDefault="00865138" w:rsidP="00C57FDC">
            <w:pPr>
              <w:rPr>
                <w:rFonts w:asciiTheme="minorHAnsi" w:hAnsiTheme="minorHAnsi"/>
                <w:sz w:val="24"/>
              </w:rPr>
            </w:pPr>
            <w:r>
              <w:rPr>
                <w:rFonts w:asciiTheme="minorHAnsi" w:hAnsiTheme="minorHAnsi"/>
                <w:sz w:val="24"/>
              </w:rPr>
              <w:t>Personal Money Management</w:t>
            </w:r>
          </w:p>
        </w:tc>
      </w:tr>
    </w:tbl>
    <w:p w:rsidR="002F68FF" w:rsidRDefault="002F68FF" w:rsidP="002F68FF">
      <w:pPr>
        <w:spacing w:after="0" w:line="240" w:lineRule="auto"/>
        <w:outlineLvl w:val="0"/>
        <w:rPr>
          <w:rFonts w:ascii="Arial" w:eastAsia="Times New Roman" w:hAnsi="Arial" w:cs="Arial"/>
          <w:b/>
        </w:rPr>
      </w:pPr>
    </w:p>
    <w:p w:rsidR="002F68FF" w:rsidRPr="0046564B" w:rsidRDefault="002F68FF" w:rsidP="002F68FF">
      <w:pPr>
        <w:spacing w:after="0" w:line="240" w:lineRule="auto"/>
        <w:outlineLvl w:val="0"/>
        <w:rPr>
          <w:rFonts w:ascii="Arial" w:eastAsia="Times New Roman" w:hAnsi="Arial" w:cs="Arial"/>
        </w:rPr>
      </w:pPr>
      <w:r w:rsidRPr="0046564B">
        <w:rPr>
          <w:rFonts w:ascii="Arial" w:eastAsia="Times New Roman" w:hAnsi="Arial" w:cs="Arial"/>
          <w:b/>
        </w:rPr>
        <w:t>Letter Grades</w:t>
      </w:r>
      <w:r w:rsidRPr="0046564B">
        <w:rPr>
          <w:rFonts w:ascii="Arial" w:eastAsia="Times New Roman" w:hAnsi="Arial" w:cs="Arial"/>
        </w:rPr>
        <w:t xml:space="preserve"> are based on provincial standard</w:t>
      </w:r>
    </w:p>
    <w:p w:rsidR="002F68FF" w:rsidRPr="0046564B" w:rsidRDefault="002F68FF" w:rsidP="002F68FF">
      <w:pPr>
        <w:spacing w:after="0" w:line="240" w:lineRule="auto"/>
        <w:rPr>
          <w:rFonts w:ascii="Arial" w:eastAsia="Times New Roman" w:hAnsi="Arial" w:cs="Arial"/>
        </w:rPr>
      </w:pPr>
    </w:p>
    <w:p w:rsidR="002F68FF" w:rsidRPr="0046564B" w:rsidRDefault="002F68FF" w:rsidP="002F68FF">
      <w:pPr>
        <w:tabs>
          <w:tab w:val="left" w:pos="720"/>
          <w:tab w:val="left" w:pos="2160"/>
        </w:tabs>
        <w:spacing w:after="0" w:line="240" w:lineRule="auto"/>
        <w:rPr>
          <w:rFonts w:ascii="Arial" w:eastAsia="Times New Roman" w:hAnsi="Arial" w:cs="Arial"/>
        </w:rPr>
      </w:pPr>
      <w:r w:rsidRPr="0046564B">
        <w:rPr>
          <w:rFonts w:ascii="Arial" w:eastAsia="Times New Roman" w:hAnsi="Arial" w:cs="Arial"/>
        </w:rPr>
        <w:tab/>
      </w:r>
      <w:proofErr w:type="gramStart"/>
      <w:r w:rsidRPr="0046564B">
        <w:rPr>
          <w:rFonts w:ascii="Arial" w:eastAsia="Times New Roman" w:hAnsi="Arial" w:cs="Arial"/>
        </w:rPr>
        <w:t>A</w:t>
      </w:r>
      <w:proofErr w:type="gramEnd"/>
      <w:r w:rsidRPr="0046564B">
        <w:rPr>
          <w:rFonts w:ascii="Arial" w:eastAsia="Times New Roman" w:hAnsi="Arial" w:cs="Arial"/>
        </w:rPr>
        <w:tab/>
        <w:t>86 - 100%</w:t>
      </w:r>
      <w:r w:rsidRPr="0046564B">
        <w:rPr>
          <w:rFonts w:ascii="Arial" w:eastAsia="Times New Roman" w:hAnsi="Arial" w:cs="Arial"/>
        </w:rPr>
        <w:tab/>
        <w:t>Excellent</w:t>
      </w:r>
    </w:p>
    <w:p w:rsidR="002F68FF" w:rsidRPr="0046564B" w:rsidRDefault="002F68FF" w:rsidP="002F68FF">
      <w:pPr>
        <w:tabs>
          <w:tab w:val="left" w:pos="720"/>
          <w:tab w:val="left" w:pos="2160"/>
        </w:tabs>
        <w:spacing w:after="0" w:line="240" w:lineRule="auto"/>
        <w:rPr>
          <w:rFonts w:ascii="Arial" w:eastAsia="Times New Roman" w:hAnsi="Arial" w:cs="Arial"/>
        </w:rPr>
      </w:pPr>
      <w:r w:rsidRPr="0046564B">
        <w:rPr>
          <w:rFonts w:ascii="Arial" w:eastAsia="Times New Roman" w:hAnsi="Arial" w:cs="Arial"/>
        </w:rPr>
        <w:tab/>
        <w:t xml:space="preserve">B </w:t>
      </w:r>
      <w:r w:rsidRPr="0046564B">
        <w:rPr>
          <w:rFonts w:ascii="Arial" w:eastAsia="Times New Roman" w:hAnsi="Arial" w:cs="Arial"/>
        </w:rPr>
        <w:tab/>
        <w:t>73 - 85%</w:t>
      </w:r>
      <w:r w:rsidRPr="0046564B">
        <w:rPr>
          <w:rFonts w:ascii="Arial" w:eastAsia="Times New Roman" w:hAnsi="Arial" w:cs="Arial"/>
        </w:rPr>
        <w:tab/>
        <w:t>Very Good</w:t>
      </w:r>
    </w:p>
    <w:p w:rsidR="002F68FF" w:rsidRPr="0046564B" w:rsidRDefault="002F68FF" w:rsidP="002F68FF">
      <w:pPr>
        <w:tabs>
          <w:tab w:val="left" w:pos="720"/>
          <w:tab w:val="left" w:pos="2160"/>
        </w:tabs>
        <w:spacing w:after="0" w:line="240" w:lineRule="auto"/>
        <w:rPr>
          <w:rFonts w:ascii="Arial" w:eastAsia="Times New Roman" w:hAnsi="Arial" w:cs="Arial"/>
        </w:rPr>
      </w:pPr>
      <w:r w:rsidRPr="0046564B">
        <w:rPr>
          <w:rFonts w:ascii="Arial" w:eastAsia="Times New Roman" w:hAnsi="Arial" w:cs="Arial"/>
        </w:rPr>
        <w:tab/>
        <w:t>C+</w:t>
      </w:r>
      <w:r w:rsidRPr="0046564B">
        <w:rPr>
          <w:rFonts w:ascii="Arial" w:eastAsia="Times New Roman" w:hAnsi="Arial" w:cs="Arial"/>
        </w:rPr>
        <w:tab/>
        <w:t>67 - 72%</w:t>
      </w:r>
      <w:r w:rsidRPr="0046564B">
        <w:rPr>
          <w:rFonts w:ascii="Arial" w:eastAsia="Times New Roman" w:hAnsi="Arial" w:cs="Arial"/>
        </w:rPr>
        <w:tab/>
        <w:t>Good</w:t>
      </w:r>
    </w:p>
    <w:p w:rsidR="002F68FF" w:rsidRPr="0046564B" w:rsidRDefault="002F68FF" w:rsidP="002F68FF">
      <w:pPr>
        <w:tabs>
          <w:tab w:val="left" w:pos="720"/>
          <w:tab w:val="left" w:pos="2160"/>
        </w:tabs>
        <w:spacing w:after="0" w:line="240" w:lineRule="auto"/>
        <w:rPr>
          <w:rFonts w:ascii="Arial" w:eastAsia="Times New Roman" w:hAnsi="Arial" w:cs="Arial"/>
        </w:rPr>
      </w:pPr>
      <w:r w:rsidRPr="0046564B">
        <w:rPr>
          <w:rFonts w:ascii="Arial" w:eastAsia="Times New Roman" w:hAnsi="Arial" w:cs="Arial"/>
        </w:rPr>
        <w:tab/>
        <w:t>C</w:t>
      </w:r>
      <w:r w:rsidRPr="0046564B">
        <w:rPr>
          <w:rFonts w:ascii="Arial" w:eastAsia="Times New Roman" w:hAnsi="Arial" w:cs="Arial"/>
        </w:rPr>
        <w:tab/>
        <w:t>60 - 66%</w:t>
      </w:r>
      <w:r w:rsidRPr="0046564B">
        <w:rPr>
          <w:rFonts w:ascii="Arial" w:eastAsia="Times New Roman" w:hAnsi="Arial" w:cs="Arial"/>
        </w:rPr>
        <w:tab/>
        <w:t>Satisfactory</w:t>
      </w:r>
    </w:p>
    <w:p w:rsidR="002F68FF" w:rsidRPr="0046564B" w:rsidRDefault="002F68FF" w:rsidP="002F68FF">
      <w:pPr>
        <w:tabs>
          <w:tab w:val="left" w:pos="720"/>
          <w:tab w:val="left" w:pos="2160"/>
        </w:tabs>
        <w:spacing w:after="0" w:line="240" w:lineRule="auto"/>
        <w:rPr>
          <w:rFonts w:ascii="Arial" w:eastAsia="Times New Roman" w:hAnsi="Arial" w:cs="Arial"/>
        </w:rPr>
      </w:pPr>
      <w:r w:rsidRPr="0046564B">
        <w:rPr>
          <w:rFonts w:ascii="Arial" w:eastAsia="Times New Roman" w:hAnsi="Arial" w:cs="Arial"/>
        </w:rPr>
        <w:tab/>
        <w:t>C-</w:t>
      </w:r>
      <w:r w:rsidRPr="0046564B">
        <w:rPr>
          <w:rFonts w:ascii="Arial" w:eastAsia="Times New Roman" w:hAnsi="Arial" w:cs="Arial"/>
        </w:rPr>
        <w:tab/>
        <w:t>50 - 59%</w:t>
      </w:r>
      <w:r w:rsidRPr="0046564B">
        <w:rPr>
          <w:rFonts w:ascii="Arial" w:eastAsia="Times New Roman" w:hAnsi="Arial" w:cs="Arial"/>
        </w:rPr>
        <w:tab/>
        <w:t>Below Average</w:t>
      </w:r>
    </w:p>
    <w:p w:rsidR="002F68FF" w:rsidRPr="0046564B" w:rsidRDefault="002F68FF" w:rsidP="002F68FF">
      <w:pPr>
        <w:tabs>
          <w:tab w:val="left" w:pos="720"/>
          <w:tab w:val="left" w:pos="2160"/>
        </w:tabs>
        <w:spacing w:after="0" w:line="240" w:lineRule="auto"/>
        <w:rPr>
          <w:rFonts w:ascii="Arial" w:eastAsia="Times New Roman" w:hAnsi="Arial" w:cs="Arial"/>
        </w:rPr>
      </w:pPr>
      <w:r w:rsidRPr="0046564B">
        <w:rPr>
          <w:rFonts w:ascii="Arial" w:eastAsia="Times New Roman" w:hAnsi="Arial" w:cs="Arial"/>
        </w:rPr>
        <w:tab/>
        <w:t>I</w:t>
      </w:r>
      <w:r w:rsidRPr="0046564B">
        <w:rPr>
          <w:rFonts w:ascii="Arial" w:eastAsia="Times New Roman" w:hAnsi="Arial" w:cs="Arial"/>
        </w:rPr>
        <w:tab/>
        <w:t>Below 50%</w:t>
      </w:r>
      <w:r w:rsidRPr="0046564B">
        <w:rPr>
          <w:rFonts w:ascii="Arial" w:eastAsia="Times New Roman" w:hAnsi="Arial" w:cs="Arial"/>
        </w:rPr>
        <w:tab/>
        <w:t>Course objectives are not being met</w:t>
      </w:r>
    </w:p>
    <w:p w:rsidR="002F68FF" w:rsidRPr="0046564B" w:rsidRDefault="002F68FF" w:rsidP="002F68FF">
      <w:pPr>
        <w:tabs>
          <w:tab w:val="left" w:pos="720"/>
          <w:tab w:val="left" w:pos="1800"/>
        </w:tabs>
        <w:spacing w:after="0" w:line="240" w:lineRule="auto"/>
        <w:rPr>
          <w:rFonts w:ascii="Arial" w:eastAsia="Times New Roman" w:hAnsi="Arial" w:cs="Arial"/>
        </w:rPr>
      </w:pPr>
    </w:p>
    <w:p w:rsidR="002F68FF" w:rsidRPr="0046564B" w:rsidRDefault="002F68FF" w:rsidP="002F68FF">
      <w:pPr>
        <w:tabs>
          <w:tab w:val="left" w:pos="720"/>
          <w:tab w:val="left" w:pos="1800"/>
        </w:tabs>
        <w:spacing w:after="0" w:line="240" w:lineRule="auto"/>
        <w:rPr>
          <w:rFonts w:ascii="Times New Roman" w:eastAsia="Times New Roman" w:hAnsi="Times New Roman" w:cs="Times New Roman"/>
          <w:b/>
        </w:rPr>
      </w:pPr>
      <w:r w:rsidRPr="0046564B">
        <w:rPr>
          <w:rFonts w:ascii="Arial" w:eastAsia="Times New Roman" w:hAnsi="Arial" w:cs="Arial"/>
          <w:b/>
        </w:rPr>
        <w:t>Work Habits are determined by the following rubric</w:t>
      </w:r>
      <w:r w:rsidRPr="0046564B">
        <w:rPr>
          <w:rFonts w:ascii="Times New Roman" w:eastAsia="Times New Roman" w:hAnsi="Times New Roman" w:cs="Times New Roman"/>
          <w:b/>
        </w:rPr>
        <w:t>:</w:t>
      </w:r>
    </w:p>
    <w:p w:rsidR="002F68FF" w:rsidRPr="0046564B" w:rsidRDefault="002F68FF" w:rsidP="002F68FF">
      <w:pPr>
        <w:tabs>
          <w:tab w:val="left" w:pos="720"/>
          <w:tab w:val="left" w:pos="1800"/>
        </w:tabs>
        <w:spacing w:after="0" w:line="240" w:lineRule="auto"/>
        <w:rPr>
          <w:rFonts w:ascii="Times New Roman" w:eastAsia="Times New Roman" w:hAnsi="Times New Roman" w:cs="Times New Roman"/>
        </w:rPr>
      </w:pPr>
    </w:p>
    <w:tbl>
      <w:tblPr>
        <w:tblW w:w="5737"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702"/>
        <w:gridCol w:w="3008"/>
        <w:gridCol w:w="3010"/>
        <w:gridCol w:w="3008"/>
      </w:tblGrid>
      <w:tr w:rsidR="002F68FF" w:rsidRPr="0046564B" w:rsidTr="00513FF2">
        <w:trPr>
          <w:trHeight w:hRule="exact" w:val="279"/>
        </w:trPr>
        <w:tc>
          <w:tcPr>
            <w:tcW w:w="793" w:type="pct"/>
            <w:tcBorders>
              <w:top w:val="single" w:sz="4" w:space="0" w:color="auto"/>
            </w:tcBorders>
            <w:shd w:val="clear" w:color="auto" w:fill="C0C0C0"/>
            <w:vAlign w:val="center"/>
          </w:tcPr>
          <w:p w:rsidR="002F68FF" w:rsidRPr="0046564B" w:rsidRDefault="002F68FF" w:rsidP="00513FF2">
            <w:pPr>
              <w:keepNext/>
              <w:spacing w:after="0" w:line="240" w:lineRule="auto"/>
              <w:jc w:val="center"/>
              <w:outlineLvl w:val="0"/>
              <w:rPr>
                <w:rFonts w:ascii="Times New Roman" w:eastAsia="Arial Unicode MS" w:hAnsi="Times New Roman" w:cs="Times New Roman"/>
                <w:bCs/>
                <w:sz w:val="16"/>
                <w:szCs w:val="16"/>
                <w:bdr w:val="single" w:sz="4" w:space="0" w:color="auto"/>
              </w:rPr>
            </w:pPr>
            <w:r w:rsidRPr="0046564B">
              <w:rPr>
                <w:rFonts w:ascii="Times New Roman" w:eastAsia="Times New Roman" w:hAnsi="Times New Roman" w:cs="Times New Roman"/>
                <w:bCs/>
                <w:sz w:val="16"/>
                <w:szCs w:val="16"/>
                <w:bdr w:val="single" w:sz="4" w:space="0" w:color="auto"/>
              </w:rPr>
              <w:t>Criteria</w:t>
            </w:r>
          </w:p>
        </w:tc>
        <w:tc>
          <w:tcPr>
            <w:tcW w:w="1402" w:type="pct"/>
            <w:tcBorders>
              <w:top w:val="single" w:sz="4" w:space="0" w:color="auto"/>
            </w:tcBorders>
            <w:shd w:val="clear" w:color="auto" w:fill="C0C0C0"/>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N</w:t>
            </w:r>
          </w:p>
        </w:tc>
        <w:tc>
          <w:tcPr>
            <w:tcW w:w="1403" w:type="pct"/>
            <w:tcBorders>
              <w:top w:val="single" w:sz="4" w:space="0" w:color="auto"/>
            </w:tcBorders>
            <w:shd w:val="clear" w:color="auto" w:fill="C0C0C0"/>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S</w:t>
            </w:r>
          </w:p>
        </w:tc>
        <w:tc>
          <w:tcPr>
            <w:tcW w:w="1403" w:type="pct"/>
            <w:tcBorders>
              <w:top w:val="single" w:sz="4" w:space="0" w:color="auto"/>
              <w:right w:val="single" w:sz="4" w:space="0" w:color="auto"/>
            </w:tcBorders>
            <w:shd w:val="clear" w:color="auto" w:fill="C0C0C0"/>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G</w:t>
            </w:r>
          </w:p>
        </w:tc>
      </w:tr>
      <w:tr w:rsidR="002F68FF" w:rsidRPr="0046564B" w:rsidTr="00513FF2">
        <w:trPr>
          <w:trHeight w:hRule="exact" w:val="400"/>
        </w:trPr>
        <w:tc>
          <w:tcPr>
            <w:tcW w:w="793" w:type="pct"/>
            <w:shd w:val="clear" w:color="auto" w:fill="auto"/>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Punctuality</w:t>
            </w:r>
          </w:p>
        </w:tc>
        <w:tc>
          <w:tcPr>
            <w:tcW w:w="1402"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Regularly arrives late or just on time.</w:t>
            </w:r>
          </w:p>
        </w:tc>
        <w:tc>
          <w:tcPr>
            <w:tcW w:w="1403"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Arrives, has textbook, notebook, equipment on desk</w:t>
            </w:r>
          </w:p>
        </w:tc>
        <w:tc>
          <w:tcPr>
            <w:tcW w:w="1403" w:type="pct"/>
            <w:tcBorders>
              <w:right w:val="single" w:sz="4" w:space="0" w:color="auto"/>
            </w:tcBorders>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Arrives, has textbook and notebook open, ready to start</w:t>
            </w:r>
          </w:p>
        </w:tc>
      </w:tr>
      <w:tr w:rsidR="002F68FF" w:rsidRPr="0046564B" w:rsidTr="00513FF2">
        <w:trPr>
          <w:trHeight w:hRule="exact" w:val="400"/>
        </w:trPr>
        <w:tc>
          <w:tcPr>
            <w:tcW w:w="793" w:type="pct"/>
            <w:shd w:val="clear" w:color="auto" w:fill="auto"/>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Works Independently</w:t>
            </w:r>
          </w:p>
        </w:tc>
        <w:tc>
          <w:tcPr>
            <w:tcW w:w="1402" w:type="pct"/>
            <w:shd w:val="clear" w:color="auto" w:fill="auto"/>
            <w:vAlign w:val="center"/>
          </w:tcPr>
          <w:p w:rsidR="002F68FF" w:rsidRPr="0046564B" w:rsidRDefault="002F68FF" w:rsidP="00513FF2">
            <w:pPr>
              <w:spacing w:after="0" w:line="240" w:lineRule="auto"/>
              <w:rPr>
                <w:rFonts w:ascii="Times New Roman" w:eastAsia="Times New Roman" w:hAnsi="Times New Roman" w:cs="Times New Roman"/>
                <w:sz w:val="16"/>
                <w:szCs w:val="16"/>
              </w:rPr>
            </w:pPr>
            <w:r w:rsidRPr="0046564B">
              <w:rPr>
                <w:rFonts w:ascii="Times New Roman" w:eastAsia="Times New Roman" w:hAnsi="Times New Roman" w:cs="Times New Roman"/>
                <w:sz w:val="16"/>
                <w:szCs w:val="16"/>
              </w:rPr>
              <w:t>Distracts others; talks to others instead of working; teacher must remind student about getting to work.</w:t>
            </w:r>
          </w:p>
        </w:tc>
        <w:tc>
          <w:tcPr>
            <w:tcW w:w="1403"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Works quietly on assignment, asking questions when necessary</w:t>
            </w:r>
          </w:p>
        </w:tc>
        <w:tc>
          <w:tcPr>
            <w:tcW w:w="1403" w:type="pct"/>
            <w:tcBorders>
              <w:right w:val="single" w:sz="4" w:space="0" w:color="auto"/>
            </w:tcBorders>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Remains on task without reminders; works quietly and efficiently using notes and textbooks</w:t>
            </w:r>
          </w:p>
        </w:tc>
      </w:tr>
      <w:tr w:rsidR="002F68FF" w:rsidRPr="0046564B" w:rsidTr="00513FF2">
        <w:trPr>
          <w:trHeight w:hRule="exact" w:val="400"/>
        </w:trPr>
        <w:tc>
          <w:tcPr>
            <w:tcW w:w="793" w:type="pct"/>
            <w:shd w:val="clear" w:color="auto" w:fill="auto"/>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Initiative</w:t>
            </w:r>
          </w:p>
        </w:tc>
        <w:tc>
          <w:tcPr>
            <w:tcW w:w="1402"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Has difficulty starting to work; doesn't ask for help; doesn't get caught up after absence; rarely participates.</w:t>
            </w:r>
          </w:p>
        </w:tc>
        <w:tc>
          <w:tcPr>
            <w:tcW w:w="1403"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Participates when asked; begins to work when assignment given; works hard most of the time</w:t>
            </w:r>
          </w:p>
        </w:tc>
        <w:tc>
          <w:tcPr>
            <w:tcW w:w="1403" w:type="pct"/>
            <w:tcBorders>
              <w:right w:val="single" w:sz="4" w:space="0" w:color="auto"/>
            </w:tcBorders>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Volunteers to answer and ask questions; will help others; know what needs to be done and does it</w:t>
            </w:r>
          </w:p>
        </w:tc>
      </w:tr>
      <w:tr w:rsidR="002F68FF" w:rsidRPr="0046564B" w:rsidTr="00513FF2">
        <w:trPr>
          <w:trHeight w:hRule="exact" w:val="400"/>
        </w:trPr>
        <w:tc>
          <w:tcPr>
            <w:tcW w:w="793" w:type="pct"/>
            <w:shd w:val="clear" w:color="auto" w:fill="auto"/>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Homework and Assignments</w:t>
            </w:r>
          </w:p>
        </w:tc>
        <w:tc>
          <w:tcPr>
            <w:tcW w:w="1402"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Assignments and homework frequently incomplete; answers not checked</w:t>
            </w:r>
          </w:p>
        </w:tc>
        <w:tc>
          <w:tcPr>
            <w:tcW w:w="1403"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Homework and assignments usually complete but answers are not always checked and corrected</w:t>
            </w:r>
          </w:p>
        </w:tc>
        <w:tc>
          <w:tcPr>
            <w:tcW w:w="1403" w:type="pct"/>
            <w:tcBorders>
              <w:right w:val="single" w:sz="4" w:space="0" w:color="auto"/>
            </w:tcBorders>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Homework and assignments complete and answers have been checked and corrections are made</w:t>
            </w:r>
          </w:p>
        </w:tc>
      </w:tr>
      <w:tr w:rsidR="002F68FF" w:rsidRPr="0046564B" w:rsidTr="00513FF2">
        <w:trPr>
          <w:trHeight w:hRule="exact" w:val="400"/>
        </w:trPr>
        <w:tc>
          <w:tcPr>
            <w:tcW w:w="793" w:type="pct"/>
            <w:shd w:val="clear" w:color="auto" w:fill="auto"/>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Organization</w:t>
            </w:r>
          </w:p>
        </w:tc>
        <w:tc>
          <w:tcPr>
            <w:tcW w:w="1402"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Rarely brings materials required for class.  Has difficulty finding materials or items in binder quickly.</w:t>
            </w:r>
          </w:p>
        </w:tc>
        <w:tc>
          <w:tcPr>
            <w:tcW w:w="1403"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 xml:space="preserve">Notebook is </w:t>
            </w:r>
            <w:proofErr w:type="gramStart"/>
            <w:r w:rsidRPr="0046564B">
              <w:rPr>
                <w:rFonts w:ascii="Times New Roman" w:eastAsia="Times New Roman" w:hAnsi="Times New Roman" w:cs="Times New Roman"/>
                <w:sz w:val="16"/>
                <w:szCs w:val="16"/>
              </w:rPr>
              <w:t>fairly complete</w:t>
            </w:r>
            <w:proofErr w:type="gramEnd"/>
            <w:r w:rsidRPr="0046564B">
              <w:rPr>
                <w:rFonts w:ascii="Times New Roman" w:eastAsia="Times New Roman" w:hAnsi="Times New Roman" w:cs="Times New Roman"/>
                <w:sz w:val="16"/>
                <w:szCs w:val="16"/>
              </w:rPr>
              <w:t xml:space="preserve"> but needs some organization of pages etc.; uses the agenda most of the time</w:t>
            </w:r>
          </w:p>
        </w:tc>
        <w:tc>
          <w:tcPr>
            <w:tcW w:w="1403" w:type="pct"/>
            <w:tcBorders>
              <w:right w:val="single" w:sz="4" w:space="0" w:color="auto"/>
            </w:tcBorders>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Notebook is organized and complete; uses the agenda to record all homework, assignments and important dates</w:t>
            </w:r>
          </w:p>
        </w:tc>
      </w:tr>
      <w:tr w:rsidR="002F68FF" w:rsidRPr="0046564B" w:rsidTr="00513FF2">
        <w:trPr>
          <w:trHeight w:hRule="exact" w:val="400"/>
        </w:trPr>
        <w:tc>
          <w:tcPr>
            <w:tcW w:w="793" w:type="pct"/>
            <w:shd w:val="clear" w:color="auto" w:fill="auto"/>
            <w:vAlign w:val="center"/>
          </w:tcPr>
          <w:p w:rsidR="002F68FF" w:rsidRPr="0046564B" w:rsidRDefault="002F68FF" w:rsidP="00513FF2">
            <w:pPr>
              <w:spacing w:after="0" w:line="240" w:lineRule="auto"/>
              <w:jc w:val="center"/>
              <w:rPr>
                <w:rFonts w:ascii="Times New Roman" w:eastAsia="Arial Unicode MS" w:hAnsi="Times New Roman" w:cs="Times New Roman"/>
                <w:b/>
                <w:bCs/>
                <w:sz w:val="16"/>
                <w:szCs w:val="16"/>
              </w:rPr>
            </w:pPr>
            <w:r w:rsidRPr="0046564B">
              <w:rPr>
                <w:rFonts w:ascii="Times New Roman" w:eastAsia="Times New Roman" w:hAnsi="Times New Roman" w:cs="Times New Roman"/>
                <w:b/>
                <w:bCs/>
                <w:sz w:val="16"/>
                <w:szCs w:val="16"/>
              </w:rPr>
              <w:t>Teamwork</w:t>
            </w:r>
          </w:p>
        </w:tc>
        <w:tc>
          <w:tcPr>
            <w:tcW w:w="1402"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Regularly interrupts, distracts, or disrupts others; difficult to work with as a team member</w:t>
            </w:r>
          </w:p>
        </w:tc>
        <w:tc>
          <w:tcPr>
            <w:tcW w:w="1403" w:type="pct"/>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Cooperative, participates and follows the lead of others</w:t>
            </w:r>
          </w:p>
        </w:tc>
        <w:tc>
          <w:tcPr>
            <w:tcW w:w="1403" w:type="pct"/>
            <w:tcBorders>
              <w:right w:val="single" w:sz="4" w:space="0" w:color="auto"/>
            </w:tcBorders>
            <w:shd w:val="clear" w:color="auto" w:fill="auto"/>
            <w:vAlign w:val="center"/>
          </w:tcPr>
          <w:p w:rsidR="002F68FF" w:rsidRPr="0046564B" w:rsidRDefault="002F68FF" w:rsidP="00513FF2">
            <w:pPr>
              <w:spacing w:after="0" w:line="240" w:lineRule="auto"/>
              <w:rPr>
                <w:rFonts w:ascii="Times New Roman" w:eastAsia="Arial Unicode MS" w:hAnsi="Times New Roman" w:cs="Times New Roman"/>
                <w:sz w:val="16"/>
                <w:szCs w:val="16"/>
              </w:rPr>
            </w:pPr>
            <w:r w:rsidRPr="0046564B">
              <w:rPr>
                <w:rFonts w:ascii="Times New Roman" w:eastAsia="Times New Roman" w:hAnsi="Times New Roman" w:cs="Times New Roman"/>
                <w:sz w:val="16"/>
                <w:szCs w:val="16"/>
              </w:rPr>
              <w:t>Demonstrates cooperation, respect, and leadership</w:t>
            </w:r>
          </w:p>
        </w:tc>
      </w:tr>
    </w:tbl>
    <w:p w:rsidR="00865138" w:rsidRDefault="00865138" w:rsidP="00345C4B">
      <w:pPr>
        <w:contextualSpacing/>
      </w:pPr>
    </w:p>
    <w:sectPr w:rsidR="00865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3E20"/>
    <w:multiLevelType w:val="hybridMultilevel"/>
    <w:tmpl w:val="011CCB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22010"/>
    <w:multiLevelType w:val="hybridMultilevel"/>
    <w:tmpl w:val="640205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4B"/>
    <w:rsid w:val="00167012"/>
    <w:rsid w:val="002F68FF"/>
    <w:rsid w:val="00345C4B"/>
    <w:rsid w:val="00865138"/>
    <w:rsid w:val="00F2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B79E"/>
  <w15:chartTrackingRefBased/>
  <w15:docId w15:val="{F0DD3F91-D33D-4F0D-B50C-B1DC96A2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C4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Mandy</dc:creator>
  <cp:keywords/>
  <dc:description/>
  <cp:lastModifiedBy>Gill, Mandy</cp:lastModifiedBy>
  <cp:revision>3</cp:revision>
  <dcterms:created xsi:type="dcterms:W3CDTF">2018-01-25T17:29:00Z</dcterms:created>
  <dcterms:modified xsi:type="dcterms:W3CDTF">2018-01-25T19:22:00Z</dcterms:modified>
</cp:coreProperties>
</file>