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5490"/>
        <w:gridCol w:w="2029"/>
      </w:tblGrid>
      <w:tr w:rsidR="00FA75C5" w14:paraId="07DF731A" w14:textId="77777777" w:rsidTr="00FA75C5">
        <w:tc>
          <w:tcPr>
            <w:tcW w:w="2695" w:type="dxa"/>
          </w:tcPr>
          <w:p w14:paraId="5061478E" w14:textId="61A58E59" w:rsidR="00FA75C5" w:rsidRDefault="00FA75C5">
            <w:pPr>
              <w:rPr>
                <w:b/>
                <w:bCs/>
              </w:rPr>
            </w:pPr>
            <w:r>
              <w:rPr>
                <w:b/>
                <w:bCs/>
              </w:rPr>
              <w:t>DATE:</w:t>
            </w:r>
            <w:r w:rsidR="00146334">
              <w:rPr>
                <w:b/>
                <w:bCs/>
              </w:rPr>
              <w:t xml:space="preserve"> November 20, 2020</w:t>
            </w:r>
          </w:p>
        </w:tc>
        <w:tc>
          <w:tcPr>
            <w:tcW w:w="5490" w:type="dxa"/>
          </w:tcPr>
          <w:p w14:paraId="3F02EB4D" w14:textId="303A87B3" w:rsidR="00FA75C5" w:rsidRDefault="00FA75C5">
            <w:pPr>
              <w:rPr>
                <w:b/>
                <w:bCs/>
              </w:rPr>
            </w:pPr>
            <w:r>
              <w:rPr>
                <w:b/>
                <w:bCs/>
              </w:rPr>
              <w:t>NAME:</w:t>
            </w:r>
            <w:r w:rsidR="00146334">
              <w:rPr>
                <w:b/>
                <w:bCs/>
              </w:rPr>
              <w:t xml:space="preserve"> Ashlyn Biggs</w:t>
            </w:r>
          </w:p>
        </w:tc>
        <w:tc>
          <w:tcPr>
            <w:tcW w:w="2029" w:type="dxa"/>
          </w:tcPr>
          <w:p w14:paraId="6E09C535" w14:textId="24CD9EB7" w:rsidR="00FA75C5" w:rsidRDefault="00FA75C5">
            <w:pPr>
              <w:rPr>
                <w:b/>
                <w:bCs/>
              </w:rPr>
            </w:pPr>
            <w:r>
              <w:rPr>
                <w:b/>
                <w:bCs/>
              </w:rPr>
              <w:t>BLOCK:</w:t>
            </w:r>
            <w:r w:rsidR="00146334">
              <w:rPr>
                <w:b/>
                <w:bCs/>
              </w:rPr>
              <w:t xml:space="preserve"> 5</w:t>
            </w:r>
          </w:p>
        </w:tc>
      </w:tr>
    </w:tbl>
    <w:p w14:paraId="2718C49F" w14:textId="5890D5E4" w:rsidR="00FA75C5" w:rsidRDefault="00FA75C5" w:rsidP="00AE223D">
      <w:pPr>
        <w:spacing w:after="0"/>
        <w:rPr>
          <w:b/>
          <w:bCs/>
        </w:rPr>
      </w:pPr>
    </w:p>
    <w:p w14:paraId="0951A697" w14:textId="4BE5123E" w:rsidR="00FA75C5" w:rsidRDefault="00FA75C5" w:rsidP="00AE223D">
      <w:pPr>
        <w:spacing w:after="0"/>
        <w:jc w:val="center"/>
        <w:rPr>
          <w:sz w:val="40"/>
          <w:szCs w:val="40"/>
        </w:rPr>
      </w:pPr>
      <w:r w:rsidRPr="00FA75C5">
        <w:rPr>
          <w:b/>
          <w:bCs/>
          <w:sz w:val="40"/>
          <w:szCs w:val="40"/>
        </w:rPr>
        <w:t>Wonder Years – Square Dance</w:t>
      </w:r>
    </w:p>
    <w:p w14:paraId="19014185" w14:textId="77777777" w:rsidR="00E7702E" w:rsidRDefault="00AE223D" w:rsidP="00AE223D">
      <w:pPr>
        <w:spacing w:after="0"/>
        <w:jc w:val="center"/>
        <w:rPr>
          <w:i/>
          <w:iCs/>
        </w:rPr>
      </w:pPr>
      <w:r w:rsidRPr="009534B2">
        <w:rPr>
          <w:i/>
          <w:iCs/>
        </w:rPr>
        <w:t xml:space="preserve">Use the link on our OneNote calendar (Students M-Z - Nov.19/Students A-L - Nov.20) to access </w:t>
      </w:r>
      <w:r w:rsidR="00E7702E">
        <w:rPr>
          <w:i/>
          <w:iCs/>
        </w:rPr>
        <w:t>the</w:t>
      </w:r>
      <w:r w:rsidRPr="009534B2">
        <w:rPr>
          <w:i/>
          <w:iCs/>
        </w:rPr>
        <w:t xml:space="preserve"> ‘Square Dance’ episode of a TV show called </w:t>
      </w:r>
      <w:r w:rsidR="00E7702E">
        <w:rPr>
          <w:i/>
          <w:iCs/>
        </w:rPr>
        <w:t>T</w:t>
      </w:r>
      <w:r w:rsidRPr="009534B2">
        <w:rPr>
          <w:i/>
          <w:iCs/>
        </w:rPr>
        <w:t>he Wonder Years.  Once you watch the episode, please answer the questions in the table below.  When you have completed your responses, save you</w:t>
      </w:r>
      <w:r w:rsidR="00E7702E">
        <w:rPr>
          <w:i/>
          <w:iCs/>
        </w:rPr>
        <w:t>r</w:t>
      </w:r>
      <w:r w:rsidRPr="009534B2">
        <w:rPr>
          <w:i/>
          <w:iCs/>
        </w:rPr>
        <w:t xml:space="preserve"> document, then post it in your homework folder on OneNote.  To post on OneNote:  Open your personal folder</w:t>
      </w:r>
      <w:r w:rsidR="00E7702E">
        <w:rPr>
          <w:i/>
          <w:iCs/>
        </w:rPr>
        <w:t xml:space="preserve"> in OneNote</w:t>
      </w:r>
      <w:r w:rsidRPr="009534B2">
        <w:rPr>
          <w:i/>
          <w:iCs/>
        </w:rPr>
        <w:t xml:space="preserve">, click on the “homework” tab, then click </w:t>
      </w:r>
      <w:r w:rsidR="00E7702E">
        <w:rPr>
          <w:i/>
          <w:iCs/>
        </w:rPr>
        <w:t xml:space="preserve">on </w:t>
      </w:r>
      <w:r w:rsidRPr="009534B2">
        <w:rPr>
          <w:i/>
          <w:iCs/>
        </w:rPr>
        <w:t>the page called “Wonder Year – Square Dance</w:t>
      </w:r>
      <w:r w:rsidR="00E7702E">
        <w:rPr>
          <w:i/>
          <w:iCs/>
        </w:rPr>
        <w:t>”</w:t>
      </w:r>
      <w:r w:rsidRPr="009534B2">
        <w:rPr>
          <w:i/>
          <w:iCs/>
        </w:rPr>
        <w:t xml:space="preserve">, then paste your document on this page and choose the </w:t>
      </w:r>
    </w:p>
    <w:p w14:paraId="2DF9B34F" w14:textId="603B4456" w:rsidR="00AE223D" w:rsidRDefault="00AE223D" w:rsidP="00AE223D">
      <w:pPr>
        <w:spacing w:after="0"/>
        <w:jc w:val="center"/>
        <w:rPr>
          <w:i/>
          <w:iCs/>
        </w:rPr>
      </w:pPr>
      <w:r w:rsidRPr="009534B2">
        <w:rPr>
          <w:i/>
          <w:iCs/>
        </w:rPr>
        <w:t>‘insert printout’ option to make sure you</w:t>
      </w:r>
      <w:r w:rsidR="00E7702E">
        <w:rPr>
          <w:i/>
          <w:iCs/>
        </w:rPr>
        <w:t>r</w:t>
      </w:r>
      <w:r w:rsidRPr="009534B2">
        <w:rPr>
          <w:i/>
          <w:iCs/>
        </w:rPr>
        <w:t xml:space="preserve"> document displays fully (not just as an icon/thumbnail).</w:t>
      </w:r>
    </w:p>
    <w:p w14:paraId="581BBEEA" w14:textId="77777777" w:rsidR="009534B2" w:rsidRPr="009534B2" w:rsidRDefault="009534B2" w:rsidP="00AE223D">
      <w:pPr>
        <w:spacing w:after="0"/>
        <w:jc w:val="center"/>
        <w:rPr>
          <w:i/>
          <w:iCs/>
        </w:rPr>
      </w:pPr>
    </w:p>
    <w:tbl>
      <w:tblPr>
        <w:tblStyle w:val="TableGrid"/>
        <w:tblW w:w="0" w:type="auto"/>
        <w:tblLayout w:type="fixed"/>
        <w:tblLook w:val="04A0" w:firstRow="1" w:lastRow="0" w:firstColumn="1" w:lastColumn="0" w:noHBand="0" w:noVBand="1"/>
      </w:tblPr>
      <w:tblGrid>
        <w:gridCol w:w="444"/>
        <w:gridCol w:w="3520"/>
        <w:gridCol w:w="6250"/>
      </w:tblGrid>
      <w:tr w:rsidR="009534B2" w14:paraId="74161A77" w14:textId="77777777" w:rsidTr="00D02322">
        <w:tc>
          <w:tcPr>
            <w:tcW w:w="3964" w:type="dxa"/>
            <w:gridSpan w:val="2"/>
          </w:tcPr>
          <w:p w14:paraId="732E1C63" w14:textId="12C8C673" w:rsidR="006B39B6" w:rsidRPr="00FA75C5" w:rsidRDefault="006B39B6" w:rsidP="00AE223D">
            <w:pPr>
              <w:jc w:val="center"/>
              <w:rPr>
                <w:b/>
                <w:bCs/>
              </w:rPr>
            </w:pPr>
            <w:r w:rsidRPr="00FA75C5">
              <w:rPr>
                <w:b/>
                <w:bCs/>
              </w:rPr>
              <w:t>Question</w:t>
            </w:r>
          </w:p>
        </w:tc>
        <w:tc>
          <w:tcPr>
            <w:tcW w:w="6250" w:type="dxa"/>
          </w:tcPr>
          <w:p w14:paraId="4B0403E4" w14:textId="79007C75" w:rsidR="006B39B6" w:rsidRPr="00FA75C5" w:rsidRDefault="006B39B6" w:rsidP="00AE223D">
            <w:pPr>
              <w:jc w:val="center"/>
              <w:rPr>
                <w:b/>
                <w:bCs/>
              </w:rPr>
            </w:pPr>
            <w:r w:rsidRPr="00FA75C5">
              <w:rPr>
                <w:b/>
                <w:bCs/>
              </w:rPr>
              <w:t>Response</w:t>
            </w:r>
          </w:p>
        </w:tc>
      </w:tr>
      <w:tr w:rsidR="009534B2" w14:paraId="7D6B1A6F" w14:textId="77777777" w:rsidTr="00D02322">
        <w:trPr>
          <w:trHeight w:val="1430"/>
        </w:trPr>
        <w:tc>
          <w:tcPr>
            <w:tcW w:w="444" w:type="dxa"/>
            <w:vAlign w:val="center"/>
          </w:tcPr>
          <w:p w14:paraId="02434A00" w14:textId="357C502C" w:rsidR="006B39B6" w:rsidRDefault="006B39B6" w:rsidP="006B39B6">
            <w:pPr>
              <w:jc w:val="center"/>
            </w:pPr>
            <w:r>
              <w:t>1</w:t>
            </w:r>
          </w:p>
        </w:tc>
        <w:tc>
          <w:tcPr>
            <w:tcW w:w="3520" w:type="dxa"/>
            <w:vAlign w:val="center"/>
          </w:tcPr>
          <w:p w14:paraId="0F0242DE" w14:textId="1CEB19A3" w:rsidR="006B39B6" w:rsidRDefault="006B39B6" w:rsidP="009534B2">
            <w:pPr>
              <w:jc w:val="center"/>
            </w:pPr>
            <w:r>
              <w:t>What message (or lesson) do you think this episode of the “Wonder Years” is trying to share?</w:t>
            </w:r>
          </w:p>
        </w:tc>
        <w:tc>
          <w:tcPr>
            <w:tcW w:w="6250" w:type="dxa"/>
            <w:vAlign w:val="center"/>
          </w:tcPr>
          <w:p w14:paraId="64CBE708" w14:textId="01B3D7CE" w:rsidR="006B39B6" w:rsidRDefault="008718DB" w:rsidP="009534B2">
            <w:r>
              <w:t xml:space="preserve">I think that the message they are trying to share is that we should never judge someone based off their looks or popularity. It shows that we need to get to know a person and talk to them without making assumptions about them. For instance, Kevin realized that Margaret is a funny, nice person once he got to know her more. </w:t>
            </w:r>
          </w:p>
        </w:tc>
      </w:tr>
      <w:tr w:rsidR="009534B2" w14:paraId="78463814" w14:textId="77777777" w:rsidTr="00D02322">
        <w:tc>
          <w:tcPr>
            <w:tcW w:w="444" w:type="dxa"/>
            <w:vAlign w:val="center"/>
          </w:tcPr>
          <w:p w14:paraId="7BD67A37" w14:textId="49850F22" w:rsidR="006B39B6" w:rsidRDefault="006B39B6" w:rsidP="006B39B6">
            <w:pPr>
              <w:jc w:val="center"/>
            </w:pPr>
            <w:r>
              <w:t>2a</w:t>
            </w:r>
          </w:p>
        </w:tc>
        <w:tc>
          <w:tcPr>
            <w:tcW w:w="3520" w:type="dxa"/>
            <w:vAlign w:val="center"/>
          </w:tcPr>
          <w:p w14:paraId="10E2102F" w14:textId="5CF4DF49" w:rsidR="006B39B6" w:rsidRDefault="006B39B6" w:rsidP="009534B2">
            <w:pPr>
              <w:jc w:val="center"/>
            </w:pPr>
            <w:r>
              <w:t>Margaret is from a military family and has been forced to move homes many times.  How many different schools has Margaret attended in the last 8 years?</w:t>
            </w:r>
          </w:p>
        </w:tc>
        <w:tc>
          <w:tcPr>
            <w:tcW w:w="6250" w:type="dxa"/>
            <w:vAlign w:val="center"/>
          </w:tcPr>
          <w:p w14:paraId="4B93984A" w14:textId="37003AE0" w:rsidR="006B39B6" w:rsidRDefault="00D02322" w:rsidP="009534B2">
            <w:r>
              <w:t>Ma</w:t>
            </w:r>
            <w:r w:rsidR="004C138D">
              <w:t>rgaret has attended 12 schools in the last 8 years.</w:t>
            </w:r>
          </w:p>
        </w:tc>
      </w:tr>
      <w:tr w:rsidR="009534B2" w14:paraId="5FF6A8A6" w14:textId="77777777" w:rsidTr="00D02322">
        <w:trPr>
          <w:trHeight w:val="1430"/>
        </w:trPr>
        <w:tc>
          <w:tcPr>
            <w:tcW w:w="444" w:type="dxa"/>
            <w:vAlign w:val="center"/>
          </w:tcPr>
          <w:p w14:paraId="3223D0A6" w14:textId="43E539E2" w:rsidR="006B39B6" w:rsidRDefault="006B39B6" w:rsidP="006B39B6">
            <w:pPr>
              <w:jc w:val="center"/>
            </w:pPr>
            <w:r>
              <w:t>2b</w:t>
            </w:r>
          </w:p>
        </w:tc>
        <w:tc>
          <w:tcPr>
            <w:tcW w:w="3520" w:type="dxa"/>
            <w:vAlign w:val="center"/>
          </w:tcPr>
          <w:p w14:paraId="38E2585E" w14:textId="6E1B8E02" w:rsidR="006B39B6" w:rsidRDefault="006B39B6" w:rsidP="009534B2">
            <w:pPr>
              <w:jc w:val="center"/>
            </w:pPr>
            <w:r>
              <w:t>What do you think would be the most challenging part of moving to many new schools?</w:t>
            </w:r>
          </w:p>
        </w:tc>
        <w:tc>
          <w:tcPr>
            <w:tcW w:w="6250" w:type="dxa"/>
            <w:vAlign w:val="center"/>
          </w:tcPr>
          <w:p w14:paraId="5E64E6C9" w14:textId="5BCCD531" w:rsidR="006B39B6" w:rsidRDefault="004C138D" w:rsidP="009534B2">
            <w:r>
              <w:t xml:space="preserve">I think that the most challenging part would be saying goodbye to friends because bonds and memories have been made. Its hard to say goodbye to friends, especially in Margaret’s case she has moved many times, she has had to say goodbye to so many people, which she might never see again. </w:t>
            </w:r>
          </w:p>
        </w:tc>
      </w:tr>
      <w:tr w:rsidR="009534B2" w14:paraId="161F0959" w14:textId="77777777" w:rsidTr="00D02322">
        <w:trPr>
          <w:trHeight w:val="791"/>
        </w:trPr>
        <w:tc>
          <w:tcPr>
            <w:tcW w:w="444" w:type="dxa"/>
            <w:vAlign w:val="center"/>
          </w:tcPr>
          <w:p w14:paraId="0D03624B" w14:textId="7AE970A7" w:rsidR="006B39B6" w:rsidRDefault="006B39B6" w:rsidP="006B39B6">
            <w:pPr>
              <w:jc w:val="center"/>
            </w:pPr>
            <w:r>
              <w:t>3a</w:t>
            </w:r>
          </w:p>
        </w:tc>
        <w:tc>
          <w:tcPr>
            <w:tcW w:w="3520" w:type="dxa"/>
            <w:vAlign w:val="center"/>
          </w:tcPr>
          <w:p w14:paraId="14B0DD45" w14:textId="230835C4" w:rsidR="006B39B6" w:rsidRDefault="006B39B6" w:rsidP="009534B2">
            <w:pPr>
              <w:jc w:val="center"/>
            </w:pPr>
            <w:r>
              <w:t>Name 2 animals that Margaret has as a pet. Why do you think she chose these animals as pets?</w:t>
            </w:r>
          </w:p>
        </w:tc>
        <w:tc>
          <w:tcPr>
            <w:tcW w:w="6250" w:type="dxa"/>
            <w:vAlign w:val="center"/>
          </w:tcPr>
          <w:p w14:paraId="6025684C" w14:textId="24F26281" w:rsidR="006B39B6" w:rsidRDefault="004C138D" w:rsidP="009534B2">
            <w:r>
              <w:t xml:space="preserve">Margaret has a tarantula and a bat. These are good pets for her because she moves so often, she cannot have a dog because she will have to leave it behind. Where lizards and bats are good to have because they are small, and they are good travelers. </w:t>
            </w:r>
          </w:p>
        </w:tc>
      </w:tr>
      <w:tr w:rsidR="009534B2" w14:paraId="4565D421" w14:textId="77777777" w:rsidTr="00D02322">
        <w:trPr>
          <w:trHeight w:val="1151"/>
        </w:trPr>
        <w:tc>
          <w:tcPr>
            <w:tcW w:w="444" w:type="dxa"/>
            <w:vAlign w:val="center"/>
          </w:tcPr>
          <w:p w14:paraId="56AD5F2B" w14:textId="02FB7BDF" w:rsidR="006B39B6" w:rsidRDefault="006B39B6" w:rsidP="006B39B6">
            <w:pPr>
              <w:jc w:val="center"/>
            </w:pPr>
            <w:r>
              <w:t>3b</w:t>
            </w:r>
          </w:p>
        </w:tc>
        <w:tc>
          <w:tcPr>
            <w:tcW w:w="3520" w:type="dxa"/>
            <w:vAlign w:val="center"/>
          </w:tcPr>
          <w:p w14:paraId="2CD70E9D" w14:textId="0B3FCB9E" w:rsidR="006B39B6" w:rsidRDefault="006B39B6" w:rsidP="009534B2">
            <w:pPr>
              <w:jc w:val="center"/>
            </w:pPr>
            <w:r>
              <w:t>Name one similarity and one difference between these two types of animals (you can use google to find the answer).</w:t>
            </w:r>
          </w:p>
        </w:tc>
        <w:tc>
          <w:tcPr>
            <w:tcW w:w="6250" w:type="dxa"/>
            <w:vAlign w:val="center"/>
          </w:tcPr>
          <w:p w14:paraId="51585947" w14:textId="148FF3F4" w:rsidR="006B39B6" w:rsidRDefault="004C138D" w:rsidP="009534B2">
            <w:r>
              <w:t>A similarity between a bat, and a tarantula is that</w:t>
            </w:r>
            <w:r w:rsidR="006836C2">
              <w:t xml:space="preserve"> they both live from 10-20 years, to live up to 20 years they must be healthy. A difference between them is that bats can fly, where tarantulas cannot.</w:t>
            </w:r>
          </w:p>
        </w:tc>
      </w:tr>
      <w:tr w:rsidR="009534B2" w14:paraId="45B170DF" w14:textId="77777777" w:rsidTr="00D02322">
        <w:tc>
          <w:tcPr>
            <w:tcW w:w="444" w:type="dxa"/>
            <w:vAlign w:val="center"/>
          </w:tcPr>
          <w:p w14:paraId="3FFAAEB5" w14:textId="5705833E" w:rsidR="006B39B6" w:rsidRDefault="006B39B6" w:rsidP="006B39B6">
            <w:pPr>
              <w:jc w:val="center"/>
            </w:pPr>
            <w:r>
              <w:t>4a</w:t>
            </w:r>
          </w:p>
        </w:tc>
        <w:tc>
          <w:tcPr>
            <w:tcW w:w="3520" w:type="dxa"/>
            <w:vAlign w:val="center"/>
          </w:tcPr>
          <w:p w14:paraId="33352CE5" w14:textId="01DEAFA8" w:rsidR="006B39B6" w:rsidRDefault="006B39B6" w:rsidP="009534B2">
            <w:pPr>
              <w:jc w:val="center"/>
            </w:pPr>
            <w:r>
              <w:t>Can you think of a time in your life (at school, at home, or another place) where you witnessed or experienced a similar situation as the story of Margaret in this episode? Briefly explain.</w:t>
            </w:r>
          </w:p>
        </w:tc>
        <w:tc>
          <w:tcPr>
            <w:tcW w:w="6250" w:type="dxa"/>
            <w:vAlign w:val="center"/>
          </w:tcPr>
          <w:p w14:paraId="1A082649" w14:textId="5A34704F" w:rsidR="006B39B6" w:rsidRDefault="006836C2" w:rsidP="009534B2">
            <w:r>
              <w:t>In middle school there was a girl in my class who had a disability. I felt that people judged her based off that, and when it came time for a group project, no one wanted her to be in their grou</w:t>
            </w:r>
            <w:r w:rsidR="008718DB">
              <w:t xml:space="preserve">p. I welcomed her into my group and tried to be her friend. She was nice, and she made us laugh. This shows that we can never judge, or define a person based off their popularity, or what they look like. This is like what was happening to Margaret because people judged her based off her popularity, however, as Kevin was getting to know her, he realized that she was nice, and smart. </w:t>
            </w:r>
          </w:p>
        </w:tc>
      </w:tr>
      <w:tr w:rsidR="009534B2" w14:paraId="2EADD67C" w14:textId="77777777" w:rsidTr="00D02322">
        <w:trPr>
          <w:trHeight w:val="1430"/>
        </w:trPr>
        <w:tc>
          <w:tcPr>
            <w:tcW w:w="444" w:type="dxa"/>
            <w:vAlign w:val="center"/>
          </w:tcPr>
          <w:p w14:paraId="0757F25C" w14:textId="5D242BFC" w:rsidR="006B39B6" w:rsidRDefault="006B39B6" w:rsidP="006B39B6">
            <w:pPr>
              <w:jc w:val="center"/>
            </w:pPr>
            <w:r>
              <w:t>4b</w:t>
            </w:r>
          </w:p>
        </w:tc>
        <w:tc>
          <w:tcPr>
            <w:tcW w:w="3520" w:type="dxa"/>
            <w:vAlign w:val="center"/>
          </w:tcPr>
          <w:p w14:paraId="0B67FA8B" w14:textId="23D0CF2E" w:rsidR="006B39B6" w:rsidRDefault="006B39B6" w:rsidP="009534B2">
            <w:pPr>
              <w:jc w:val="center"/>
            </w:pPr>
            <w:r>
              <w:t xml:space="preserve">Looking back at the situation above (4a), </w:t>
            </w:r>
            <w:r w:rsidR="009534B2">
              <w:t>what could you have done to help solve the problem?</w:t>
            </w:r>
          </w:p>
        </w:tc>
        <w:tc>
          <w:tcPr>
            <w:tcW w:w="6250" w:type="dxa"/>
            <w:vAlign w:val="center"/>
          </w:tcPr>
          <w:p w14:paraId="2F035A59" w14:textId="7CBB3512" w:rsidR="006B39B6" w:rsidRDefault="008718DB" w:rsidP="009534B2">
            <w:r>
              <w:t xml:space="preserve">What I did, and I will keep doing is to invite someone, and welcome them into our group. Therefore no one is excluded, because if that happened to me, I would want someone to invite me. Which brings me to the saying, treat everyone how you want to be treated. </w:t>
            </w:r>
          </w:p>
        </w:tc>
      </w:tr>
      <w:tr w:rsidR="009534B2" w14:paraId="38F5E5AB" w14:textId="77777777" w:rsidTr="00D02322">
        <w:trPr>
          <w:trHeight w:val="1520"/>
        </w:trPr>
        <w:tc>
          <w:tcPr>
            <w:tcW w:w="444" w:type="dxa"/>
            <w:vAlign w:val="center"/>
          </w:tcPr>
          <w:p w14:paraId="2F31D526" w14:textId="4C78923C" w:rsidR="006B39B6" w:rsidRDefault="006B39B6" w:rsidP="006B39B6">
            <w:pPr>
              <w:jc w:val="center"/>
            </w:pPr>
            <w:r>
              <w:lastRenderedPageBreak/>
              <w:t>5</w:t>
            </w:r>
          </w:p>
        </w:tc>
        <w:tc>
          <w:tcPr>
            <w:tcW w:w="3520" w:type="dxa"/>
            <w:vAlign w:val="center"/>
          </w:tcPr>
          <w:p w14:paraId="25CADAAA" w14:textId="3926E08A" w:rsidR="006B39B6" w:rsidRDefault="006B39B6" w:rsidP="009534B2">
            <w:pPr>
              <w:jc w:val="center"/>
            </w:pPr>
            <w:r>
              <w:t>If you notice that someone in our class is looking for a group to join (ex. for a lab or project), what could you do to help?</w:t>
            </w:r>
          </w:p>
        </w:tc>
        <w:tc>
          <w:tcPr>
            <w:tcW w:w="6250" w:type="dxa"/>
            <w:vAlign w:val="center"/>
          </w:tcPr>
          <w:p w14:paraId="6869C6EA" w14:textId="720EA905" w:rsidR="006B39B6" w:rsidRDefault="008718DB" w:rsidP="009534B2">
            <w:r>
              <w:t xml:space="preserve">I would invite them to join us and pull up a chair for them. I would also talk to them and make conversation so that they will feel more comfortable around the rest of </w:t>
            </w:r>
            <w:r w:rsidR="009D0048">
              <w:t xml:space="preserve">the group. </w:t>
            </w:r>
          </w:p>
          <w:p w14:paraId="69B61303" w14:textId="77777777" w:rsidR="009534B2" w:rsidRDefault="009534B2" w:rsidP="009534B2"/>
          <w:p w14:paraId="723366A6" w14:textId="0DE7A499" w:rsidR="009534B2" w:rsidRDefault="009534B2" w:rsidP="009534B2"/>
        </w:tc>
      </w:tr>
    </w:tbl>
    <w:p w14:paraId="27F689B7" w14:textId="77777777" w:rsidR="00FA75C5" w:rsidRDefault="00FA75C5" w:rsidP="00AE223D">
      <w:pPr>
        <w:spacing w:after="0"/>
      </w:pPr>
    </w:p>
    <w:sectPr w:rsidR="00FA75C5" w:rsidSect="00FA75C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C5"/>
    <w:rsid w:val="00146334"/>
    <w:rsid w:val="002E20B0"/>
    <w:rsid w:val="004C138D"/>
    <w:rsid w:val="006836C2"/>
    <w:rsid w:val="006B39B6"/>
    <w:rsid w:val="008718DB"/>
    <w:rsid w:val="009534B2"/>
    <w:rsid w:val="009D0048"/>
    <w:rsid w:val="00AE223D"/>
    <w:rsid w:val="00D02322"/>
    <w:rsid w:val="00E7702E"/>
    <w:rsid w:val="00F36918"/>
    <w:rsid w:val="00F627F2"/>
    <w:rsid w:val="00FA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B634"/>
  <w15:chartTrackingRefBased/>
  <w15:docId w15:val="{F10E5456-1978-476B-8B2E-F37ED63A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Moretti, Neal</dc:creator>
  <cp:keywords/>
  <dc:description/>
  <cp:lastModifiedBy>127S-Biggs, Ashlyn</cp:lastModifiedBy>
  <cp:revision>2</cp:revision>
  <dcterms:created xsi:type="dcterms:W3CDTF">2020-11-20T22:56:00Z</dcterms:created>
  <dcterms:modified xsi:type="dcterms:W3CDTF">2020-11-20T22:56:00Z</dcterms:modified>
</cp:coreProperties>
</file>